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64C57" w14:textId="77777777" w:rsidR="00BA719E" w:rsidRPr="00BD472F" w:rsidRDefault="00BA719E" w:rsidP="00F765C7">
      <w:pPr>
        <w:pStyle w:val="Title"/>
      </w:pPr>
      <w:r w:rsidRPr="00BD472F">
        <w:t xml:space="preserve">Manipulating meditation practice dosage in adults with clinically elevated depression or anxiety: A </w:t>
      </w:r>
      <w:proofErr w:type="gramStart"/>
      <w:r w:rsidRPr="00BD472F">
        <w:t>fully-remote</w:t>
      </w:r>
      <w:proofErr w:type="gramEnd"/>
      <w:r w:rsidRPr="00BD472F">
        <w:t>, randomized feasibility trial</w:t>
      </w:r>
    </w:p>
    <w:p w14:paraId="685B60A6" w14:textId="77777777" w:rsidR="00BA719E" w:rsidRPr="00BD472F" w:rsidRDefault="00BA719E" w:rsidP="00BA719E">
      <w:pPr>
        <w:spacing w:line="480" w:lineRule="auto"/>
      </w:pPr>
    </w:p>
    <w:p w14:paraId="14979F3E" w14:textId="77777777" w:rsidR="00BA719E" w:rsidRPr="00BD472F" w:rsidRDefault="00BA719E" w:rsidP="00BA719E">
      <w:pPr>
        <w:spacing w:line="480" w:lineRule="auto"/>
        <w:rPr>
          <w:vertAlign w:val="superscript"/>
        </w:rPr>
      </w:pPr>
      <w:r w:rsidRPr="00BD472F">
        <w:t>Simon B. Goldberg</w:t>
      </w:r>
      <w:r w:rsidRPr="00BD472F">
        <w:rPr>
          <w:vertAlign w:val="superscript"/>
        </w:rPr>
        <w:t>1,2*</w:t>
      </w:r>
      <w:r w:rsidRPr="00BD472F">
        <w:t>, Rachel L. Dyer</w:t>
      </w:r>
      <w:r w:rsidRPr="00BD472F">
        <w:rPr>
          <w:vertAlign w:val="superscript"/>
        </w:rPr>
        <w:t>3</w:t>
      </w:r>
      <w:r w:rsidRPr="00BD472F">
        <w:t>, Corrina Frye</w:t>
      </w:r>
      <w:r w:rsidRPr="00BD472F">
        <w:rPr>
          <w:vertAlign w:val="superscript"/>
        </w:rPr>
        <w:t>2,4</w:t>
      </w:r>
      <w:r w:rsidRPr="00BD472F">
        <w:t>, Caroline M. Swords</w:t>
      </w:r>
      <w:r w:rsidRPr="00BD472F">
        <w:rPr>
          <w:vertAlign w:val="superscript"/>
        </w:rPr>
        <w:t>1,2</w:t>
      </w:r>
      <w:r w:rsidRPr="00BD472F">
        <w:t>, Katherine M. Zimmerman</w:t>
      </w:r>
      <w:r w:rsidRPr="00BD472F">
        <w:rPr>
          <w:vertAlign w:val="superscript"/>
        </w:rPr>
        <w:t>2</w:t>
      </w:r>
      <w:r w:rsidRPr="00BD472F">
        <w:t xml:space="preserve">, </w:t>
      </w:r>
      <w:proofErr w:type="spellStart"/>
      <w:r w:rsidRPr="00BD472F">
        <w:t>Xinxuyang</w:t>
      </w:r>
      <w:proofErr w:type="spellEnd"/>
      <w:r w:rsidRPr="00BD472F">
        <w:t xml:space="preserve"> Zhao</w:t>
      </w:r>
      <w:r w:rsidRPr="00BD472F">
        <w:rPr>
          <w:vertAlign w:val="superscript"/>
        </w:rPr>
        <w:t>2</w:t>
      </w:r>
      <w:r w:rsidRPr="00BD472F">
        <w:t>, Ross Jacobucci</w:t>
      </w:r>
      <w:r w:rsidRPr="00BD472F">
        <w:rPr>
          <w:vertAlign w:val="superscript"/>
        </w:rPr>
        <w:t>2</w:t>
      </w:r>
      <w:r w:rsidRPr="00BD472F">
        <w:t>, Sarah Strohmaier</w:t>
      </w:r>
      <w:r w:rsidRPr="00BD472F">
        <w:rPr>
          <w:vertAlign w:val="superscript"/>
        </w:rPr>
        <w:t>5</w:t>
      </w:r>
      <w:r w:rsidRPr="00BD472F">
        <w:t>, Chad Stecher</w:t>
      </w:r>
      <w:r w:rsidRPr="00BD472F">
        <w:rPr>
          <w:vertAlign w:val="superscript"/>
        </w:rPr>
        <w:t>6</w:t>
      </w:r>
      <w:r w:rsidRPr="00BD472F">
        <w:t>, Wendy Lau</w:t>
      </w:r>
      <w:r w:rsidRPr="00BD472F">
        <w:rPr>
          <w:vertAlign w:val="superscript"/>
        </w:rPr>
        <w:t>2</w:t>
      </w:r>
      <w:r w:rsidRPr="00BD472F">
        <w:t>, Daniel M. Bolt</w:t>
      </w:r>
      <w:r w:rsidRPr="00BD472F">
        <w:rPr>
          <w:vertAlign w:val="superscript"/>
        </w:rPr>
        <w:t>7</w:t>
      </w:r>
      <w:r w:rsidRPr="00BD472F">
        <w:t>, John Torous</w:t>
      </w:r>
      <w:r w:rsidRPr="00BD472F">
        <w:rPr>
          <w:vertAlign w:val="superscript"/>
        </w:rPr>
        <w:t>8</w:t>
      </w:r>
      <w:r w:rsidRPr="00BD472F">
        <w:t>, Inbal Nahum-Shani</w:t>
      </w:r>
      <w:r w:rsidRPr="00BD472F">
        <w:rPr>
          <w:vertAlign w:val="superscript"/>
        </w:rPr>
        <w:t>9,10</w:t>
      </w:r>
      <w:r w:rsidRPr="00BD472F">
        <w:t>, Richard J. Davidson</w:t>
      </w:r>
      <w:r w:rsidRPr="00BD472F">
        <w:rPr>
          <w:vertAlign w:val="superscript"/>
        </w:rPr>
        <w:t>2,11,12</w:t>
      </w:r>
    </w:p>
    <w:p w14:paraId="17C4C652" w14:textId="77777777" w:rsidR="00BA719E" w:rsidRPr="00BD472F" w:rsidRDefault="00BA719E" w:rsidP="00BA719E">
      <w:pPr>
        <w:spacing w:line="480" w:lineRule="auto"/>
        <w:rPr>
          <w:vertAlign w:val="superscript"/>
        </w:rPr>
      </w:pPr>
    </w:p>
    <w:p w14:paraId="72F9057D" w14:textId="77777777" w:rsidR="00BA719E" w:rsidRPr="00BD472F" w:rsidRDefault="00BA719E" w:rsidP="00BA719E">
      <w:pPr>
        <w:spacing w:line="480" w:lineRule="auto"/>
      </w:pPr>
      <w:r w:rsidRPr="00BD472F">
        <w:rPr>
          <w:vertAlign w:val="superscript"/>
        </w:rPr>
        <w:t>1</w:t>
      </w:r>
      <w:r w:rsidRPr="00BD472F">
        <w:t>Department of Counseling Psychology, University of Wisconsin – Madison, Madison, WI, USA</w:t>
      </w:r>
    </w:p>
    <w:p w14:paraId="5654741C" w14:textId="77777777" w:rsidR="00BA719E" w:rsidRPr="00BD472F" w:rsidRDefault="00BA719E" w:rsidP="00BA719E">
      <w:pPr>
        <w:spacing w:line="480" w:lineRule="auto"/>
      </w:pPr>
      <w:r w:rsidRPr="00BD472F">
        <w:rPr>
          <w:vertAlign w:val="superscript"/>
        </w:rPr>
        <w:t>2</w:t>
      </w:r>
      <w:r w:rsidRPr="00BD472F">
        <w:t>Center for Healthy Minds, University of Wisconsin – Madison, Madison, WI, USA</w:t>
      </w:r>
    </w:p>
    <w:p w14:paraId="00F73F00" w14:textId="77777777" w:rsidR="00BA719E" w:rsidRPr="00BD472F" w:rsidRDefault="00BA719E" w:rsidP="00BA719E">
      <w:pPr>
        <w:spacing w:line="480" w:lineRule="auto"/>
      </w:pPr>
      <w:r w:rsidRPr="00BD472F">
        <w:rPr>
          <w:vertAlign w:val="superscript"/>
        </w:rPr>
        <w:t>3</w:t>
      </w:r>
      <w:r w:rsidRPr="00BD472F">
        <w:t>Department of Psychology, Lawrence University, Appleton, WI, USA</w:t>
      </w:r>
    </w:p>
    <w:p w14:paraId="28389AE6" w14:textId="77777777" w:rsidR="00BA719E" w:rsidRPr="00BD472F" w:rsidRDefault="00BA719E" w:rsidP="00BA719E">
      <w:pPr>
        <w:spacing w:line="480" w:lineRule="auto"/>
        <w:rPr>
          <w:vertAlign w:val="superscript"/>
        </w:rPr>
      </w:pPr>
      <w:r w:rsidRPr="00BD472F">
        <w:rPr>
          <w:vertAlign w:val="superscript"/>
        </w:rPr>
        <w:t>4</w:t>
      </w:r>
      <w:r w:rsidRPr="00BD472F">
        <w:t>Developing Brain Imaging Lab, Waisman Center, University of Wisconsin – Madison, Madison, WI, USA</w:t>
      </w:r>
    </w:p>
    <w:p w14:paraId="1E9B305E" w14:textId="77777777" w:rsidR="00BA719E" w:rsidRPr="00BD472F" w:rsidRDefault="00BA719E" w:rsidP="00BA719E">
      <w:pPr>
        <w:spacing w:line="480" w:lineRule="auto"/>
      </w:pPr>
      <w:r w:rsidRPr="00BD472F">
        <w:rPr>
          <w:vertAlign w:val="superscript"/>
        </w:rPr>
        <w:t>5</w:t>
      </w:r>
      <w:r w:rsidRPr="00BD472F">
        <w:t>College of Sport, Health and Engineering, Victoria University, Melbourne, Australia</w:t>
      </w:r>
    </w:p>
    <w:p w14:paraId="429B37B7" w14:textId="77777777" w:rsidR="00BA719E" w:rsidRPr="00BD472F" w:rsidRDefault="00BA719E" w:rsidP="00BA719E">
      <w:pPr>
        <w:spacing w:line="480" w:lineRule="auto"/>
      </w:pPr>
      <w:r w:rsidRPr="00BD472F">
        <w:rPr>
          <w:vertAlign w:val="superscript"/>
        </w:rPr>
        <w:t>6</w:t>
      </w:r>
      <w:r w:rsidRPr="00BD472F">
        <w:t>College of Health Solutions, Arizona State University, Phoenix, AZ, USA</w:t>
      </w:r>
    </w:p>
    <w:p w14:paraId="57B53418" w14:textId="77777777" w:rsidR="00BA719E" w:rsidRPr="00BD472F" w:rsidRDefault="00BA719E" w:rsidP="00BA719E">
      <w:pPr>
        <w:spacing w:line="480" w:lineRule="auto"/>
      </w:pPr>
      <w:r w:rsidRPr="00BD472F">
        <w:rPr>
          <w:vertAlign w:val="superscript"/>
        </w:rPr>
        <w:t>7</w:t>
      </w:r>
      <w:r w:rsidRPr="00BD472F">
        <w:t>Department of Educational Psychology, University of Wisconsin – Madison, Madison, WI, USA</w:t>
      </w:r>
    </w:p>
    <w:p w14:paraId="5D9C5F53" w14:textId="77777777" w:rsidR="00BA719E" w:rsidRPr="00BD472F" w:rsidRDefault="00BA719E" w:rsidP="00BA719E">
      <w:pPr>
        <w:spacing w:line="480" w:lineRule="auto"/>
        <w:rPr>
          <w:vertAlign w:val="superscript"/>
        </w:rPr>
      </w:pPr>
      <w:r w:rsidRPr="00BD472F">
        <w:rPr>
          <w:vertAlign w:val="superscript"/>
        </w:rPr>
        <w:t>8</w:t>
      </w:r>
      <w:r w:rsidRPr="00BD472F">
        <w:t>Division of Digital Psychiatry, Beth Israel Deaconess Medical Center, Harvard Medical School, Boston, MA, USA</w:t>
      </w:r>
    </w:p>
    <w:p w14:paraId="5301CE7D" w14:textId="77777777" w:rsidR="00BA719E" w:rsidRPr="00BD472F" w:rsidRDefault="00BA719E" w:rsidP="00BA719E">
      <w:pPr>
        <w:spacing w:line="480" w:lineRule="auto"/>
      </w:pPr>
      <w:r w:rsidRPr="00BD472F">
        <w:rPr>
          <w:vertAlign w:val="superscript"/>
        </w:rPr>
        <w:t>9</w:t>
      </w:r>
      <w:r w:rsidRPr="00BD472F">
        <w:t>Institute for Social Research, University of Michigan, Ann Arbor, MI, USA</w:t>
      </w:r>
    </w:p>
    <w:p w14:paraId="075B7B5D" w14:textId="77777777" w:rsidR="00BA719E" w:rsidRPr="00BD472F" w:rsidRDefault="00BA719E" w:rsidP="00BA719E">
      <w:pPr>
        <w:spacing w:line="480" w:lineRule="auto"/>
      </w:pPr>
      <w:r w:rsidRPr="00BD472F">
        <w:rPr>
          <w:vertAlign w:val="superscript"/>
        </w:rPr>
        <w:t>10</w:t>
      </w:r>
      <w:r w:rsidRPr="00BD472F">
        <w:t>Department of Psychiatry, University of Michigan, Ann Arbor, MI, USA</w:t>
      </w:r>
    </w:p>
    <w:p w14:paraId="5B984C1E" w14:textId="77777777" w:rsidR="00BA719E" w:rsidRPr="00BD472F" w:rsidRDefault="00BA719E" w:rsidP="00BA719E">
      <w:pPr>
        <w:spacing w:line="480" w:lineRule="auto"/>
      </w:pPr>
      <w:r w:rsidRPr="00BD472F">
        <w:rPr>
          <w:vertAlign w:val="superscript"/>
        </w:rPr>
        <w:t>11</w:t>
      </w:r>
      <w:r w:rsidRPr="00BD472F">
        <w:t>Department of Psychology, University of Wisconsin – Madison, Madison, WI, USA</w:t>
      </w:r>
    </w:p>
    <w:p w14:paraId="7CACF09D" w14:textId="77777777" w:rsidR="00BA719E" w:rsidRPr="00BD472F" w:rsidRDefault="00BA719E" w:rsidP="00BA719E">
      <w:pPr>
        <w:spacing w:line="480" w:lineRule="auto"/>
      </w:pPr>
      <w:r w:rsidRPr="00BD472F">
        <w:rPr>
          <w:vertAlign w:val="superscript"/>
        </w:rPr>
        <w:lastRenderedPageBreak/>
        <w:t>12</w:t>
      </w:r>
      <w:r w:rsidRPr="00BD472F">
        <w:t>Department of Psychiatry, University of Wisconsin – Madison, Madison, WI, USA</w:t>
      </w:r>
    </w:p>
    <w:p w14:paraId="1197AF73" w14:textId="77777777" w:rsidR="00BA719E" w:rsidRPr="00BD472F" w:rsidRDefault="00BA719E" w:rsidP="00BA719E">
      <w:pPr>
        <w:spacing w:line="480" w:lineRule="auto"/>
        <w:jc w:val="center"/>
        <w:rPr>
          <w:b/>
          <w:bCs/>
        </w:rPr>
      </w:pPr>
      <w:r w:rsidRPr="00BD472F">
        <w:rPr>
          <w:b/>
          <w:bCs/>
        </w:rPr>
        <w:t>Author Note</w:t>
      </w:r>
    </w:p>
    <w:p w14:paraId="03327E5C" w14:textId="77777777" w:rsidR="00BA719E" w:rsidRPr="00BD472F" w:rsidRDefault="00BA719E" w:rsidP="00BA719E">
      <w:pPr>
        <w:spacing w:line="480" w:lineRule="auto"/>
        <w:rPr>
          <w:rStyle w:val="orcid-id-https"/>
        </w:rPr>
      </w:pPr>
      <w:r w:rsidRPr="00BD472F">
        <w:t>Simon B. Goldberg</w:t>
      </w:r>
      <w:r w:rsidRPr="00BD472F">
        <w:rPr>
          <w:rStyle w:val="Hyperlink"/>
          <w:u w:val="none"/>
        </w:rPr>
        <w:t xml:space="preserve">: </w:t>
      </w:r>
      <w:r w:rsidRPr="00BD472F">
        <w:rPr>
          <w:rStyle w:val="orcid-id-https"/>
        </w:rPr>
        <w:t>https://orcid.org/0000-0002-6888-0126</w:t>
      </w:r>
    </w:p>
    <w:p w14:paraId="43265003" w14:textId="77777777" w:rsidR="00BA719E" w:rsidRPr="00BD472F" w:rsidRDefault="00BA719E" w:rsidP="00BA719E">
      <w:pPr>
        <w:spacing w:line="480" w:lineRule="auto"/>
        <w:rPr>
          <w:lang w:val="de-DE"/>
        </w:rPr>
      </w:pPr>
      <w:r w:rsidRPr="00BD472F">
        <w:rPr>
          <w:lang w:val="de-DE"/>
        </w:rPr>
        <w:t xml:space="preserve">Rachel L. Dyer: </w:t>
      </w:r>
      <w:hyperlink r:id="rId7" w:history="1">
        <w:r w:rsidRPr="00BD472F">
          <w:rPr>
            <w:rStyle w:val="Hyperlink"/>
            <w:lang w:val="de-DE"/>
          </w:rPr>
          <w:t>https://orcid.org/0000-0003-0073-3442</w:t>
        </w:r>
      </w:hyperlink>
    </w:p>
    <w:p w14:paraId="2FD84C99" w14:textId="77777777" w:rsidR="00BA719E" w:rsidRPr="00BD472F" w:rsidRDefault="00BA719E" w:rsidP="00BA719E">
      <w:pPr>
        <w:spacing w:line="480" w:lineRule="auto"/>
        <w:rPr>
          <w:lang w:val="fr-FR"/>
        </w:rPr>
      </w:pPr>
      <w:r w:rsidRPr="00BD472F">
        <w:rPr>
          <w:lang w:val="fr-FR"/>
        </w:rPr>
        <w:t>Caroline M. Swords : https://orcid.org/0009-0005-6373-4997</w:t>
      </w:r>
    </w:p>
    <w:p w14:paraId="403B2342" w14:textId="4A25FF64" w:rsidR="00C14DAF" w:rsidRPr="00BD472F" w:rsidRDefault="00C14DAF" w:rsidP="00BA719E">
      <w:pPr>
        <w:spacing w:line="480" w:lineRule="auto"/>
        <w:rPr>
          <w:rStyle w:val="orcid-id-https"/>
          <w:lang w:val="de-DE"/>
        </w:rPr>
      </w:pPr>
      <w:r w:rsidRPr="00BD472F">
        <w:rPr>
          <w:rStyle w:val="orcid-id-https"/>
          <w:lang w:val="de-DE"/>
        </w:rPr>
        <w:t>Sarah Strohmaier: https://orcid.org/</w:t>
      </w:r>
      <w:r w:rsidRPr="00467B9A">
        <w:rPr>
          <w:lang w:val="de-DE"/>
        </w:rPr>
        <w:t>0000-0002-2569-8447</w:t>
      </w:r>
    </w:p>
    <w:p w14:paraId="17FF5B55" w14:textId="0075BF5E" w:rsidR="00BA719E" w:rsidRPr="00BD472F" w:rsidRDefault="00BA719E" w:rsidP="00BA719E">
      <w:pPr>
        <w:spacing w:line="480" w:lineRule="auto"/>
        <w:rPr>
          <w:rStyle w:val="orcid-id-https"/>
          <w:lang w:val="de-DE"/>
        </w:rPr>
      </w:pPr>
      <w:r w:rsidRPr="00BD472F">
        <w:rPr>
          <w:rStyle w:val="orcid-id-https"/>
          <w:lang w:val="de-DE"/>
        </w:rPr>
        <w:t>Chad Stecher: https://orcid.org/0000-0003-2218-3306</w:t>
      </w:r>
    </w:p>
    <w:p w14:paraId="3A5F85E0" w14:textId="77777777" w:rsidR="00BA719E" w:rsidRPr="00BD472F" w:rsidRDefault="00BA719E" w:rsidP="00BA719E">
      <w:pPr>
        <w:spacing w:line="480" w:lineRule="auto"/>
        <w:rPr>
          <w:rStyle w:val="orcid-id-https"/>
          <w:lang w:val="de-DE"/>
        </w:rPr>
      </w:pPr>
      <w:r w:rsidRPr="00BD472F">
        <w:rPr>
          <w:rStyle w:val="orcid-id-https"/>
          <w:lang w:val="de-DE"/>
        </w:rPr>
        <w:t xml:space="preserve">Daniel M. Bolt: </w:t>
      </w:r>
      <w:hyperlink r:id="rId8" w:history="1">
        <w:r w:rsidRPr="00BD472F">
          <w:rPr>
            <w:rStyle w:val="Hyperlink"/>
            <w:lang w:val="de-DE"/>
          </w:rPr>
          <w:t>https://orcid.org/0000-0001-7593-4439</w:t>
        </w:r>
      </w:hyperlink>
    </w:p>
    <w:p w14:paraId="7D9FAC7A" w14:textId="77777777" w:rsidR="00BA719E" w:rsidRPr="00BD472F" w:rsidRDefault="00BA719E" w:rsidP="00BA719E">
      <w:pPr>
        <w:spacing w:line="480" w:lineRule="auto"/>
        <w:rPr>
          <w:rStyle w:val="orcid-id-https"/>
        </w:rPr>
      </w:pPr>
      <w:r w:rsidRPr="00BD472F">
        <w:t>Inbal Nahum-Shani: https://orcid.org/0000-0001-6138-9089</w:t>
      </w:r>
    </w:p>
    <w:p w14:paraId="71A8B6CF" w14:textId="77777777" w:rsidR="00BA719E" w:rsidRPr="00BD472F" w:rsidRDefault="00BA719E" w:rsidP="00BA719E">
      <w:pPr>
        <w:spacing w:line="480" w:lineRule="auto"/>
        <w:rPr>
          <w:rStyle w:val="orcid-id-https"/>
        </w:rPr>
      </w:pPr>
      <w:r w:rsidRPr="00BD472F">
        <w:t xml:space="preserve">Richard J. Davidson: </w:t>
      </w:r>
      <w:r w:rsidRPr="00BD472F">
        <w:rPr>
          <w:rStyle w:val="orcid-id-https"/>
        </w:rPr>
        <w:t>https://orcid.org/0000-0002-8506-4964</w:t>
      </w:r>
    </w:p>
    <w:p w14:paraId="707A1204" w14:textId="77777777" w:rsidR="00BA719E" w:rsidRPr="00BD472F" w:rsidRDefault="00BA719E" w:rsidP="00BA719E">
      <w:pPr>
        <w:spacing w:line="480" w:lineRule="auto"/>
        <w:ind w:firstLine="720"/>
        <w:rPr>
          <w:color w:val="000000" w:themeColor="text1"/>
        </w:rPr>
      </w:pPr>
      <w:r w:rsidRPr="00BD472F">
        <w:rPr>
          <w:color w:val="000000" w:themeColor="text1"/>
        </w:rPr>
        <w:t xml:space="preserve">Richard J. Davidson is the founder, president, and serves on the board of directors for the non-profit organization, </w:t>
      </w:r>
      <w:proofErr w:type="spellStart"/>
      <w:r w:rsidRPr="00BD472F">
        <w:rPr>
          <w:color w:val="000000" w:themeColor="text1"/>
        </w:rPr>
        <w:t>Humin</w:t>
      </w:r>
      <w:proofErr w:type="spellEnd"/>
      <w:r w:rsidRPr="00BD472F">
        <w:rPr>
          <w:color w:val="000000" w:themeColor="text1"/>
        </w:rPr>
        <w:t xml:space="preserve">. </w:t>
      </w:r>
    </w:p>
    <w:p w14:paraId="1612162C" w14:textId="6684C8A7" w:rsidR="00BA719E" w:rsidRPr="00BD472F" w:rsidRDefault="00BA719E" w:rsidP="00BA719E">
      <w:pPr>
        <w:spacing w:line="480" w:lineRule="auto"/>
        <w:ind w:firstLine="720"/>
      </w:pPr>
      <w:r w:rsidRPr="00BD472F">
        <w:rPr>
          <w:color w:val="000000" w:themeColor="text1"/>
        </w:rPr>
        <w:t xml:space="preserve">This study was supported by the </w:t>
      </w:r>
      <w:r w:rsidRPr="00BD472F">
        <w:t xml:space="preserve">National Center for Complementary and Integrative U24AT011289-01 (RJD), the National Institute of Mental Health MH018931 (CMS, RJD), and the Hope for Depression Research Foundation Defeating Depression Award (SBG). </w:t>
      </w:r>
      <w:r w:rsidRPr="00BD472F">
        <w:rPr>
          <w:color w:val="000000" w:themeColor="text1"/>
        </w:rPr>
        <w:t>No donors, either anonymous or identified, have participated in the design, conduct, or reporting of research results in this manuscript.</w:t>
      </w:r>
    </w:p>
    <w:p w14:paraId="4EE94D0E" w14:textId="4BBA22C6" w:rsidR="00BA719E" w:rsidRPr="00BD472F" w:rsidRDefault="00BA719E" w:rsidP="00BA719E">
      <w:pPr>
        <w:spacing w:line="480" w:lineRule="auto"/>
        <w:ind w:firstLine="720"/>
        <w:rPr>
          <w:color w:val="000000" w:themeColor="text1"/>
        </w:rPr>
      </w:pPr>
      <w:r w:rsidRPr="00BD472F">
        <w:rPr>
          <w:color w:val="000000" w:themeColor="text1"/>
        </w:rPr>
        <w:t xml:space="preserve">The data and conclusions presented in this manuscript have not been presented previously orally, on poster, or in print. </w:t>
      </w:r>
      <w:r w:rsidRPr="00BD472F">
        <w:rPr>
          <w:rStyle w:val="Hyperlink"/>
          <w:color w:val="000000" w:themeColor="text1"/>
          <w:u w:val="none"/>
        </w:rPr>
        <w:t>All data and code involved in analyses presented in this paper are available online</w:t>
      </w:r>
      <w:r w:rsidR="00747122">
        <w:rPr>
          <w:rStyle w:val="Hyperlink"/>
          <w:color w:val="000000" w:themeColor="text1"/>
          <w:u w:val="none"/>
        </w:rPr>
        <w:t xml:space="preserve"> </w:t>
      </w:r>
      <w:r w:rsidRPr="00BD472F">
        <w:rPr>
          <w:rStyle w:val="Hyperlink"/>
          <w:color w:val="000000" w:themeColor="text1"/>
          <w:u w:val="none"/>
        </w:rPr>
        <w:t>(https://osf.io/jh2xv/files/osfstorage?view_only=038c787190284434869ae03d8b74ac9b).</w:t>
      </w:r>
    </w:p>
    <w:p w14:paraId="6ECC69AB" w14:textId="77777777" w:rsidR="00BD472F" w:rsidRDefault="00BA719E" w:rsidP="00BA719E">
      <w:pPr>
        <w:spacing w:line="480" w:lineRule="auto"/>
        <w:ind w:firstLine="720"/>
        <w:sectPr w:rsidR="00BD472F" w:rsidSect="00CB3B38">
          <w:footerReference w:type="even" r:id="rId9"/>
          <w:footerReference w:type="default" r:id="rId10"/>
          <w:pgSz w:w="12240" w:h="15840"/>
          <w:pgMar w:top="1440" w:right="1440" w:bottom="1440" w:left="1440" w:header="720" w:footer="720" w:gutter="0"/>
          <w:cols w:space="720"/>
          <w:docGrid w:linePitch="360"/>
        </w:sectPr>
      </w:pPr>
      <w:r w:rsidRPr="00BD472F">
        <w:lastRenderedPageBreak/>
        <w:t>*Correspondence should be addressed to: Simon B. Goldberg, Department of Counseling Psychology, 335 Education Building, 1000 Bascom Mall, University of Wisconsin – Madison, Madison, WI, 53706, phone: 608-265-8986, fax:  608-265-4174, email: sbgoldberg@wisc.edu</w:t>
      </w:r>
    </w:p>
    <w:p w14:paraId="32FEB870" w14:textId="77777777" w:rsidR="00BD472F" w:rsidRDefault="00BD472F" w:rsidP="00F765C7">
      <w:pPr>
        <w:pStyle w:val="Heading2"/>
      </w:pPr>
      <w:r>
        <w:lastRenderedPageBreak/>
        <w:t>Declaration of Generative AI and AI-assisted Technologies</w:t>
      </w:r>
    </w:p>
    <w:p w14:paraId="673DFF54" w14:textId="59C05898" w:rsidR="00BA719E" w:rsidRPr="009F1D29" w:rsidRDefault="00BD472F" w:rsidP="009F1D29">
      <w:pPr>
        <w:spacing w:line="480" w:lineRule="auto"/>
        <w:rPr>
          <w:b/>
          <w:bCs/>
        </w:rPr>
      </w:pPr>
      <w:r w:rsidRPr="00CC71C8">
        <w:rPr>
          <w:color w:val="000000" w:themeColor="text1"/>
        </w:rPr>
        <w:t>During the preparation of this work the authors used</w:t>
      </w:r>
      <w:r>
        <w:rPr>
          <w:color w:val="000000" w:themeColor="text1"/>
        </w:rPr>
        <w:t xml:space="preserve"> Claude Opus 4.8</w:t>
      </w:r>
      <w:r w:rsidRPr="00CC71C8">
        <w:rPr>
          <w:color w:val="000000" w:themeColor="text1"/>
        </w:rPr>
        <w:t xml:space="preserve"> </w:t>
      </w:r>
      <w:r>
        <w:rPr>
          <w:color w:val="000000" w:themeColor="text1"/>
        </w:rPr>
        <w:t>for manuscript editing and code review</w:t>
      </w:r>
      <w:r w:rsidRPr="00CC71C8">
        <w:rPr>
          <w:color w:val="000000" w:themeColor="text1"/>
        </w:rPr>
        <w:t>. After using this tool/service, the authors reviewed and edited the content as needed and take full responsibility for the content of the published article.</w:t>
      </w:r>
    </w:p>
    <w:p w14:paraId="67281297" w14:textId="77777777" w:rsidR="006501E0" w:rsidRPr="00BD472F" w:rsidRDefault="006501E0" w:rsidP="00873178">
      <w:pPr>
        <w:spacing w:line="480" w:lineRule="auto"/>
      </w:pPr>
    </w:p>
    <w:p w14:paraId="0E1B177C" w14:textId="77777777" w:rsidR="00D20AE0" w:rsidRDefault="00D20AE0" w:rsidP="00F765C7">
      <w:pPr>
        <w:pStyle w:val="Heading2"/>
      </w:pPr>
      <w:r>
        <w:t>Conflict of Interest</w:t>
      </w:r>
    </w:p>
    <w:p w14:paraId="4060B907" w14:textId="77777777" w:rsidR="00D20AE0" w:rsidRPr="00FF36DE" w:rsidRDefault="00D20AE0" w:rsidP="00D20AE0">
      <w:pPr>
        <w:widowControl w:val="0"/>
        <w:autoSpaceDE w:val="0"/>
        <w:autoSpaceDN w:val="0"/>
        <w:adjustRightInd w:val="0"/>
        <w:spacing w:line="480" w:lineRule="auto"/>
        <w:rPr>
          <w:color w:val="000000" w:themeColor="text1"/>
        </w:rPr>
      </w:pPr>
      <w:r>
        <w:rPr>
          <w:color w:val="000000" w:themeColor="text1"/>
        </w:rPr>
        <w:t xml:space="preserve">J. T. was a clinical advisor for Boehringer Ingelheim. </w:t>
      </w:r>
      <w:r w:rsidRPr="00FF36DE">
        <w:rPr>
          <w:color w:val="000000" w:themeColor="text1"/>
        </w:rPr>
        <w:t xml:space="preserve">R.J.D is the Founder and Chief Visionary of </w:t>
      </w:r>
      <w:proofErr w:type="spellStart"/>
      <w:r w:rsidRPr="00FF36DE">
        <w:rPr>
          <w:color w:val="000000" w:themeColor="text1"/>
        </w:rPr>
        <w:t>Humin</w:t>
      </w:r>
      <w:proofErr w:type="spellEnd"/>
      <w:r w:rsidRPr="00FF36DE">
        <w:rPr>
          <w:color w:val="000000" w:themeColor="text1"/>
        </w:rPr>
        <w:t xml:space="preserve"> (formerly Healthy Minds Innovations), a non-profit organization from which he receives no compensation.   </w:t>
      </w:r>
    </w:p>
    <w:p w14:paraId="4313934A" w14:textId="77777777" w:rsidR="009F1D29" w:rsidRDefault="009F1D29" w:rsidP="001E20DB">
      <w:pPr>
        <w:spacing w:line="480" w:lineRule="auto"/>
        <w:ind w:firstLine="720"/>
        <w:sectPr w:rsidR="009F1D29" w:rsidSect="00CB3B38">
          <w:pgSz w:w="12240" w:h="15840"/>
          <w:pgMar w:top="1440" w:right="1440" w:bottom="1440" w:left="1440" w:header="720" w:footer="720" w:gutter="0"/>
          <w:cols w:space="720"/>
          <w:docGrid w:linePitch="360"/>
        </w:sectPr>
      </w:pPr>
    </w:p>
    <w:p w14:paraId="61065014" w14:textId="77777777" w:rsidR="009F1D29" w:rsidRDefault="009F1D29" w:rsidP="00F765C7">
      <w:pPr>
        <w:pStyle w:val="Heading2"/>
      </w:pPr>
      <w:r>
        <w:lastRenderedPageBreak/>
        <w:t>Highlights</w:t>
      </w:r>
    </w:p>
    <w:p w14:paraId="4A3AF312" w14:textId="77777777" w:rsidR="009F1D29" w:rsidRPr="00115C3E" w:rsidRDefault="009F1D29" w:rsidP="009F1D29">
      <w:pPr>
        <w:pStyle w:val="ListParagraph"/>
        <w:numPr>
          <w:ilvl w:val="0"/>
          <w:numId w:val="1"/>
        </w:numPr>
        <w:spacing w:line="480" w:lineRule="auto"/>
      </w:pPr>
      <w:r w:rsidRPr="00115C3E">
        <w:t xml:space="preserve">Meditation dosage was experimentally manipulated </w:t>
      </w:r>
      <w:r>
        <w:t>in</w:t>
      </w:r>
      <w:r w:rsidRPr="00115C3E">
        <w:t xml:space="preserve"> a </w:t>
      </w:r>
      <w:proofErr w:type="gramStart"/>
      <w:r w:rsidRPr="00115C3E">
        <w:t>fully-remote</w:t>
      </w:r>
      <w:proofErr w:type="gramEnd"/>
      <w:r w:rsidRPr="00115C3E">
        <w:t xml:space="preserve"> app trial</w:t>
      </w:r>
    </w:p>
    <w:p w14:paraId="528BD147" w14:textId="77777777" w:rsidR="009F1D29" w:rsidRPr="00115C3E" w:rsidRDefault="009F1D29" w:rsidP="009F1D29">
      <w:pPr>
        <w:pStyle w:val="ListParagraph"/>
        <w:numPr>
          <w:ilvl w:val="0"/>
          <w:numId w:val="1"/>
        </w:numPr>
        <w:spacing w:line="480" w:lineRule="auto"/>
      </w:pPr>
      <w:r w:rsidRPr="00115C3E">
        <w:t>High-dose participants completed twice the meditation minutes of low-dose</w:t>
      </w:r>
    </w:p>
    <w:p w14:paraId="58E88588" w14:textId="77777777" w:rsidR="009F1D29" w:rsidRPr="00115C3E" w:rsidRDefault="009F1D29" w:rsidP="009F1D29">
      <w:pPr>
        <w:pStyle w:val="ListParagraph"/>
        <w:numPr>
          <w:ilvl w:val="0"/>
          <w:numId w:val="1"/>
        </w:numPr>
        <w:spacing w:line="480" w:lineRule="auto"/>
      </w:pPr>
      <w:r w:rsidRPr="00115C3E">
        <w:t xml:space="preserve">Study procedures and </w:t>
      </w:r>
      <w:r>
        <w:t>four times daily</w:t>
      </w:r>
      <w:r w:rsidRPr="00115C3E">
        <w:t xml:space="preserve"> EMA were feasible and acceptable</w:t>
      </w:r>
    </w:p>
    <w:p w14:paraId="6B578C18" w14:textId="77777777" w:rsidR="009F1D29" w:rsidRDefault="009F1D29" w:rsidP="009F1D29">
      <w:pPr>
        <w:pStyle w:val="ListParagraph"/>
        <w:numPr>
          <w:ilvl w:val="0"/>
          <w:numId w:val="1"/>
        </w:numPr>
        <w:spacing w:line="480" w:lineRule="auto"/>
      </w:pPr>
      <w:r w:rsidRPr="00115C3E">
        <w:t>Both dosage groups improved; between-group</w:t>
      </w:r>
      <w:r>
        <w:t xml:space="preserve"> effects on</w:t>
      </w:r>
      <w:r w:rsidRPr="00115C3E">
        <w:t xml:space="preserve"> distress were mixed</w:t>
      </w:r>
    </w:p>
    <w:p w14:paraId="18A65ED2" w14:textId="77777777" w:rsidR="009F1D29" w:rsidRPr="00115C3E" w:rsidRDefault="009F1D29" w:rsidP="009F1D29">
      <w:pPr>
        <w:pStyle w:val="ListParagraph"/>
        <w:numPr>
          <w:ilvl w:val="0"/>
          <w:numId w:val="1"/>
        </w:numPr>
        <w:spacing w:line="480" w:lineRule="auto"/>
      </w:pPr>
      <w:r>
        <w:t>Large-scale studies manipulating meditation practice dosage are warranted</w:t>
      </w:r>
    </w:p>
    <w:p w14:paraId="412F0DD2" w14:textId="5E102BAA" w:rsidR="00D6288F" w:rsidRPr="00BD472F" w:rsidRDefault="00D6288F" w:rsidP="001E20DB">
      <w:pPr>
        <w:spacing w:line="480" w:lineRule="auto"/>
        <w:ind w:firstLine="720"/>
        <w:sectPr w:rsidR="00D6288F" w:rsidRPr="00BD472F" w:rsidSect="00CB3B38">
          <w:pgSz w:w="12240" w:h="15840"/>
          <w:pgMar w:top="1440" w:right="1440" w:bottom="1440" w:left="1440" w:header="720" w:footer="720" w:gutter="0"/>
          <w:cols w:space="720"/>
          <w:docGrid w:linePitch="360"/>
        </w:sectPr>
      </w:pPr>
    </w:p>
    <w:p w14:paraId="2BE0505D" w14:textId="43DD360F" w:rsidR="001E20DB" w:rsidRPr="00BD472F" w:rsidRDefault="00D6288F" w:rsidP="00F765C7">
      <w:pPr>
        <w:pStyle w:val="Heading2"/>
      </w:pPr>
      <w:r w:rsidRPr="00BD472F">
        <w:lastRenderedPageBreak/>
        <w:t>Abstract</w:t>
      </w:r>
    </w:p>
    <w:p w14:paraId="470006C0" w14:textId="51218C56" w:rsidR="00951626" w:rsidRPr="00BD472F" w:rsidRDefault="006E06E6" w:rsidP="006E06E6">
      <w:pPr>
        <w:spacing w:line="480" w:lineRule="auto"/>
      </w:pPr>
      <w:r w:rsidRPr="00BD472F">
        <w:t xml:space="preserve">Meditation apps hold </w:t>
      </w:r>
      <w:proofErr w:type="gramStart"/>
      <w:r w:rsidRPr="00BD472F">
        <w:t>promise</w:t>
      </w:r>
      <w:proofErr w:type="gramEnd"/>
      <w:r w:rsidRPr="00BD472F">
        <w:t xml:space="preserve"> for </w:t>
      </w:r>
      <w:r w:rsidR="00482444" w:rsidRPr="00BD472F">
        <w:t>improving</w:t>
      </w:r>
      <w:r w:rsidRPr="00BD472F">
        <w:t xml:space="preserve"> public</w:t>
      </w:r>
      <w:r w:rsidR="00482444" w:rsidRPr="00BD472F">
        <w:t xml:space="preserve"> mental</w:t>
      </w:r>
      <w:r w:rsidRPr="00BD472F">
        <w:t xml:space="preserve"> health. However, this approach has not been fully optimized. </w:t>
      </w:r>
      <w:r w:rsidR="00482444" w:rsidRPr="00BD472F">
        <w:t>We</w:t>
      </w:r>
      <w:r w:rsidRPr="00BD472F">
        <w:t xml:space="preserve"> evaluated the feasibility, acceptability, and preliminary impact of manipulating a theoretically central</w:t>
      </w:r>
      <w:r w:rsidR="006D7E8E" w:rsidRPr="00BD472F">
        <w:t xml:space="preserve"> but understudied</w:t>
      </w:r>
      <w:r w:rsidRPr="00BD472F">
        <w:t xml:space="preserve"> intervention component – meditation practice dosage. Adults (</w:t>
      </w:r>
      <w:r w:rsidRPr="00BD472F">
        <w:rPr>
          <w:i/>
          <w:iCs/>
        </w:rPr>
        <w:t>n</w:t>
      </w:r>
      <w:r w:rsidRPr="00BD472F">
        <w:t>=92; 60.9% non-Latinx White) wit</w:t>
      </w:r>
      <w:r w:rsidR="00F36FD6" w:rsidRPr="00BD472F">
        <w:t>h</w:t>
      </w:r>
      <w:r w:rsidRPr="00BD472F">
        <w:t xml:space="preserve"> clinically elevated depression and/or anxiety symptoms</w:t>
      </w:r>
      <w:r w:rsidR="008C657E" w:rsidRPr="00BD472F">
        <w:t xml:space="preserve"> and limited meditation experience</w:t>
      </w:r>
      <w:r w:rsidR="00F36FD6" w:rsidRPr="00BD472F">
        <w:t xml:space="preserve"> were randomized to complete 15</w:t>
      </w:r>
      <w:r w:rsidR="008C657E" w:rsidRPr="00BD472F">
        <w:t xml:space="preserve"> minutes</w:t>
      </w:r>
      <w:r w:rsidR="00F36FD6" w:rsidRPr="00BD472F">
        <w:t xml:space="preserve"> (high dosage) or 5 minutes (low dosage) of meditation </w:t>
      </w:r>
      <w:r w:rsidR="00321C6A" w:rsidRPr="00BD472F">
        <w:t xml:space="preserve">daily </w:t>
      </w:r>
      <w:r w:rsidR="00F36FD6" w:rsidRPr="00BD472F">
        <w:t>using the Healthy Minds Program</w:t>
      </w:r>
      <w:r w:rsidR="00482444" w:rsidRPr="00BD472F">
        <w:t xml:space="preserve"> (HMP)</w:t>
      </w:r>
      <w:r w:rsidR="00F36FD6" w:rsidRPr="00BD472F">
        <w:t xml:space="preserve"> app over 28</w:t>
      </w:r>
      <w:r w:rsidR="00632C6B" w:rsidRPr="00BD472F">
        <w:t xml:space="preserve"> </w:t>
      </w:r>
      <w:r w:rsidR="00F36FD6" w:rsidRPr="00BD472F">
        <w:t>day</w:t>
      </w:r>
      <w:r w:rsidR="00632C6B" w:rsidRPr="00BD472F">
        <w:t>s</w:t>
      </w:r>
      <w:r w:rsidR="00F36FD6" w:rsidRPr="00BD472F">
        <w:t>. Participants completed measures at pre-treatment</w:t>
      </w:r>
      <w:r w:rsidR="00632C6B" w:rsidRPr="00BD472F">
        <w:t>,</w:t>
      </w:r>
      <w:r w:rsidR="00321C6A" w:rsidRPr="00BD472F">
        <w:t xml:space="preserve"> post-treatment, </w:t>
      </w:r>
      <w:r w:rsidR="00632C6B" w:rsidRPr="00BD472F">
        <w:t>and</w:t>
      </w:r>
      <w:r w:rsidR="00321C6A" w:rsidRPr="00BD472F">
        <w:t xml:space="preserve"> four times per day ecological momentary assessment</w:t>
      </w:r>
      <w:r w:rsidR="00632C6B" w:rsidRPr="00BD472F">
        <w:t>s</w:t>
      </w:r>
      <w:r w:rsidR="00321C6A" w:rsidRPr="00BD472F">
        <w:t xml:space="preserve"> (EMA)</w:t>
      </w:r>
      <w:r w:rsidR="00482444" w:rsidRPr="00BD472F">
        <w:t xml:space="preserve"> and were paid up to $170 for completing study activities</w:t>
      </w:r>
      <w:r w:rsidR="00321C6A" w:rsidRPr="00BD472F">
        <w:t>.</w:t>
      </w:r>
      <w:r w:rsidR="006D7E8E" w:rsidRPr="00BD472F">
        <w:t xml:space="preserve"> Feasibility and acceptability metrics were generally at or above preregistered thresholds (</w:t>
      </w:r>
      <w:r w:rsidR="007F3B24" w:rsidRPr="00BD472F">
        <w:t>100.0%</w:t>
      </w:r>
      <w:r w:rsidR="006D7E8E" w:rsidRPr="00BD472F">
        <w:t xml:space="preserve"> completed ≥1 EMA and ≥1 activity in HMP, 80.7% of EMA were completed, 96.7% completed post-treatment assessments, HMP </w:t>
      </w:r>
      <w:r w:rsidR="00482444" w:rsidRPr="00BD472F">
        <w:t xml:space="preserve">rated </w:t>
      </w:r>
      <w:r w:rsidR="006D7E8E" w:rsidRPr="00BD472F">
        <w:t xml:space="preserve">as 84.11 out of 100 on usability, </w:t>
      </w:r>
      <w:r w:rsidR="007F3B24" w:rsidRPr="00BD472F">
        <w:t xml:space="preserve">high dosage condition participants completed </w:t>
      </w:r>
      <w:r w:rsidR="006D7E8E" w:rsidRPr="00BD472F">
        <w:t>more minutes of meditation</w:t>
      </w:r>
      <w:r w:rsidR="00482444" w:rsidRPr="00BD472F">
        <w:t xml:space="preserve"> [201.76 vs. 100.85, respectively]</w:t>
      </w:r>
      <w:r w:rsidR="006D7E8E" w:rsidRPr="00BD472F">
        <w:t xml:space="preserve"> but </w:t>
      </w:r>
      <w:r w:rsidR="007F3B24" w:rsidRPr="00BD472F">
        <w:t xml:space="preserve">did not differ on </w:t>
      </w:r>
      <w:r w:rsidR="006D7E8E" w:rsidRPr="00BD472F">
        <w:t>days of use or activities completed)</w:t>
      </w:r>
      <w:r w:rsidR="00632C6B" w:rsidRPr="00BD472F">
        <w:t>.</w:t>
      </w:r>
      <w:r w:rsidR="007F3B24" w:rsidRPr="00BD472F">
        <w:t xml:space="preserve"> </w:t>
      </w:r>
      <w:r w:rsidR="00632C6B" w:rsidRPr="00BD472F">
        <w:t>D</w:t>
      </w:r>
      <w:r w:rsidR="006D7E8E" w:rsidRPr="00BD472F">
        <w:t xml:space="preserve">aily adherence to assigned dosages was below preregistered threshold. Qualitative results provided further evidence </w:t>
      </w:r>
      <w:r w:rsidR="00951626" w:rsidRPr="00BD472F">
        <w:t xml:space="preserve">demonstrating </w:t>
      </w:r>
      <w:r w:rsidR="006D7E8E" w:rsidRPr="00BD472F">
        <w:t>feasibility and acceptability</w:t>
      </w:r>
      <w:r w:rsidR="00632C6B" w:rsidRPr="00BD472F">
        <w:t xml:space="preserve"> while also illustrating points of confusion for participants</w:t>
      </w:r>
      <w:r w:rsidR="006D7E8E" w:rsidRPr="00BD472F">
        <w:t xml:space="preserve">. In </w:t>
      </w:r>
      <w:r w:rsidR="002B38FC" w:rsidRPr="00BD472F">
        <w:t>non-preregistered</w:t>
      </w:r>
      <w:r w:rsidR="008B08BF" w:rsidRPr="00BD472F">
        <w:t xml:space="preserve"> </w:t>
      </w:r>
      <w:r w:rsidR="006D7E8E" w:rsidRPr="00BD472F">
        <w:t xml:space="preserve">between-group analyses, no differences were observed between the high and low dosage conditions on retrospective self-report measures of psychological distress. </w:t>
      </w:r>
      <w:r w:rsidR="008B08BF" w:rsidRPr="00BD472F">
        <w:t>EMA results were mixed, with some analyses favoring high and others low dosage groups</w:t>
      </w:r>
      <w:r w:rsidR="006D7E8E" w:rsidRPr="00BD472F">
        <w:t xml:space="preserve">. Taken together, results suggest that dosage can be </w:t>
      </w:r>
      <w:r w:rsidR="00726BEB" w:rsidRPr="00BD472F">
        <w:t xml:space="preserve">experimentally manipulated within a </w:t>
      </w:r>
      <w:proofErr w:type="gramStart"/>
      <w:r w:rsidR="00726BEB" w:rsidRPr="00BD472F">
        <w:t>fully-remote</w:t>
      </w:r>
      <w:proofErr w:type="gramEnd"/>
      <w:r w:rsidR="00726BEB" w:rsidRPr="00BD472F">
        <w:t xml:space="preserve"> clinical trial and </w:t>
      </w:r>
      <w:r w:rsidR="008B08BF" w:rsidRPr="00BD472F">
        <w:t xml:space="preserve">that </w:t>
      </w:r>
      <w:r w:rsidR="00726BEB" w:rsidRPr="00BD472F">
        <w:t>it may influence momentary distress.</w:t>
      </w:r>
    </w:p>
    <w:p w14:paraId="2ABF5677" w14:textId="27D35D2A" w:rsidR="00D6288F" w:rsidRPr="00BD472F" w:rsidRDefault="00D6288F" w:rsidP="00873178">
      <w:pPr>
        <w:spacing w:line="480" w:lineRule="auto"/>
        <w:sectPr w:rsidR="00D6288F" w:rsidRPr="00BD472F" w:rsidSect="00CB3B38">
          <w:pgSz w:w="12240" w:h="15840"/>
          <w:pgMar w:top="1440" w:right="1440" w:bottom="1440" w:left="1440" w:header="720" w:footer="720" w:gutter="0"/>
          <w:cols w:space="720"/>
          <w:docGrid w:linePitch="360"/>
        </w:sectPr>
      </w:pPr>
      <w:r w:rsidRPr="00BD472F">
        <w:rPr>
          <w:i/>
          <w:iCs/>
        </w:rPr>
        <w:t>Keywords:</w:t>
      </w:r>
      <w:r w:rsidR="007F3B24" w:rsidRPr="00BD472F">
        <w:t xml:space="preserve"> depression and anxiety; meditation apps; meditation practice; dosage; digital interventions</w:t>
      </w:r>
    </w:p>
    <w:p w14:paraId="4513F95E" w14:textId="46727364" w:rsidR="00485A65" w:rsidRPr="00BD472F" w:rsidRDefault="00485A65" w:rsidP="005D666F">
      <w:pPr>
        <w:spacing w:line="480" w:lineRule="auto"/>
      </w:pPr>
      <w:r w:rsidRPr="00BD472F">
        <w:rPr>
          <w:b/>
          <w:bCs/>
        </w:rPr>
        <w:lastRenderedPageBreak/>
        <w:tab/>
      </w:r>
      <w:r w:rsidR="005D666F" w:rsidRPr="00BD472F">
        <w:t>Of all mental illnesses, depression and anxiety disorders are two of the most common and burdensome, occurring in one out of four individuals</w:t>
      </w:r>
      <w:r w:rsidR="007E3AF4" w:rsidRPr="00BD472F">
        <w:t xml:space="preserve"> in the United States</w:t>
      </w:r>
      <w:r w:rsidR="005D666F" w:rsidRPr="00BD472F">
        <w:t xml:space="preserve"> (</w:t>
      </w:r>
      <w:r w:rsidR="00DD19AF" w:rsidRPr="00BD472F">
        <w:t xml:space="preserve">Hasin et al., 2018; </w:t>
      </w:r>
      <w:r w:rsidR="005D666F" w:rsidRPr="00BD472F">
        <w:t>Kessler et al., 2012). Frequently comorbid, these conditions are associated with enormous economic and social costs; billions of health care dollars are spent in their treatment every year with billions more associated with lost productivity (Greenberg et al., 20</w:t>
      </w:r>
      <w:r w:rsidR="007944B6" w:rsidRPr="00BD472F">
        <w:t>21</w:t>
      </w:r>
      <w:r w:rsidR="005D666F" w:rsidRPr="00BD472F">
        <w:t xml:space="preserve">). </w:t>
      </w:r>
      <w:r w:rsidR="002E2BA7" w:rsidRPr="00BD472F">
        <w:t>Meditation</w:t>
      </w:r>
      <w:r w:rsidR="005D666F" w:rsidRPr="00BD472F">
        <w:t xml:space="preserve">-based interventions (MBIs), including mindfulness-based stress reduction (MBSR) and mindfulness-based cognitive therapy (MBCT), have emerged as effective treatments. MBIs </w:t>
      </w:r>
      <w:r w:rsidR="00177A42" w:rsidRPr="00BD472F">
        <w:t xml:space="preserve">significantly </w:t>
      </w:r>
      <w:r w:rsidR="005D666F" w:rsidRPr="00BD472F">
        <w:t xml:space="preserve">reduce symptoms of depression and anxiety (Cohen’s </w:t>
      </w:r>
      <w:r w:rsidR="005D666F" w:rsidRPr="00BD472F">
        <w:rPr>
          <w:i/>
          <w:iCs/>
        </w:rPr>
        <w:t>d</w:t>
      </w:r>
      <w:r w:rsidR="005D666F" w:rsidRPr="00BD472F">
        <w:t>s = 0.59 to 0.89 vs. waitlist; Goldberg et al., 2018, 2019). Yet, despite substantial scientific progress developing and testing MBIs for depression and anxiety, access to these treatments remains limited due to associated cost, inconvenience, and lack of services (Rycroft-Malone et al., 2017).</w:t>
      </w:r>
    </w:p>
    <w:p w14:paraId="4C65F255" w14:textId="03857402" w:rsidR="00773D13" w:rsidRPr="00BD472F" w:rsidRDefault="002E2BA7" w:rsidP="002E2BA7">
      <w:pPr>
        <w:spacing w:line="480" w:lineRule="auto"/>
        <w:ind w:firstLine="720"/>
      </w:pPr>
      <w:r w:rsidRPr="00BD472F">
        <w:t>In the last decade, the possibility of delivering meditation training through mobile health (mHealth) has emerged as a promising approach to increase access to MBIs</w:t>
      </w:r>
      <w:r w:rsidR="007E3AF4" w:rsidRPr="00BD472F">
        <w:t xml:space="preserve"> (Creswell &amp; Goldberg, in press)</w:t>
      </w:r>
      <w:r w:rsidRPr="00BD472F">
        <w:t xml:space="preserve">. mHealth may offer an ideal solution for promoting access to optimized MBIs (Linardon et al., 2024). Of the various psychotherapeutic approaches (e.g., cognitive behavioral therapy, interpersonal psychotherapy), MBIs </w:t>
      </w:r>
      <w:r w:rsidR="007B14BE" w:rsidRPr="00BD472F">
        <w:t>may be</w:t>
      </w:r>
      <w:r w:rsidRPr="00BD472F">
        <w:t xml:space="preserve"> a</w:t>
      </w:r>
      <w:r w:rsidR="007944B6" w:rsidRPr="00BD472F">
        <w:t xml:space="preserve"> particularly amenable</w:t>
      </w:r>
      <w:r w:rsidRPr="00BD472F">
        <w:t xml:space="preserve"> candidate for mHealth by emphasizing a specific technique (mindfulness meditation) successfully taught through</w:t>
      </w:r>
      <w:r w:rsidR="000122F8" w:rsidRPr="00BD472F">
        <w:t xml:space="preserve"> asynchronous,</w:t>
      </w:r>
      <w:r w:rsidRPr="00BD472F">
        <w:t xml:space="preserve"> audio-guided formats (</w:t>
      </w:r>
      <w:r w:rsidR="007B14BE" w:rsidRPr="00BD472F">
        <w:t>Linardon et al., 2024</w:t>
      </w:r>
      <w:r w:rsidRPr="00BD472F">
        <w:t>). mHealth MBIs can be delivered through ubiquitous technologies such as smartphones (</w:t>
      </w:r>
      <w:r w:rsidR="007944B6" w:rsidRPr="00BD472F">
        <w:t>Pew Research Center, 2024</w:t>
      </w:r>
      <w:r w:rsidRPr="00BD472F">
        <w:t xml:space="preserve">), offering unprecedented scalability. </w:t>
      </w:r>
    </w:p>
    <w:p w14:paraId="0C253343" w14:textId="6AF0DA4C" w:rsidR="00773D13" w:rsidRPr="00BD472F" w:rsidRDefault="007F1F93" w:rsidP="002E2BA7">
      <w:pPr>
        <w:spacing w:line="480" w:lineRule="auto"/>
        <w:ind w:firstLine="720"/>
      </w:pPr>
      <w:r w:rsidRPr="00BD472F">
        <w:t>Historically, a</w:t>
      </w:r>
      <w:r w:rsidR="00705F6B" w:rsidRPr="00BD472F">
        <w:t xml:space="preserve">nalysis of objective app usage data has demonstrated </w:t>
      </w:r>
      <w:r w:rsidR="00773D13" w:rsidRPr="00BD472F">
        <w:t>that meditation apps are already the most widely used mental health apps (Wasil et al., 2020)</w:t>
      </w:r>
      <w:r w:rsidRPr="00BD472F">
        <w:t xml:space="preserve">, although it is possible this has shifted </w:t>
      </w:r>
      <w:r w:rsidR="00606D34" w:rsidRPr="00BD472F">
        <w:t>since</w:t>
      </w:r>
      <w:r w:rsidRPr="00BD472F">
        <w:t xml:space="preserve"> the rise of large-language models (Rousmaniere et al., 2026)</w:t>
      </w:r>
      <w:r w:rsidR="00773D13" w:rsidRPr="00BD472F">
        <w:t xml:space="preserve">. An increasing </w:t>
      </w:r>
      <w:r w:rsidR="00773D13" w:rsidRPr="00BD472F">
        <w:lastRenderedPageBreak/>
        <w:t>number of randomized controlled trials</w:t>
      </w:r>
      <w:r w:rsidR="004A322B" w:rsidRPr="00BD472F">
        <w:t xml:space="preserve"> (RCTs)</w:t>
      </w:r>
      <w:r w:rsidR="00773D13" w:rsidRPr="00BD472F">
        <w:t xml:space="preserve"> have shown th</w:t>
      </w:r>
      <w:r w:rsidR="00780C1F" w:rsidRPr="00BD472F">
        <w:t>at</w:t>
      </w:r>
      <w:r w:rsidR="00773D13" w:rsidRPr="00BD472F">
        <w:t xml:space="preserve"> meditation apps produce small magnitude reductions in depression and anxiety symptoms relative to both active and inactive controls (</w:t>
      </w:r>
      <w:r w:rsidR="00773D13" w:rsidRPr="00BD472F">
        <w:rPr>
          <w:i/>
          <w:iCs/>
        </w:rPr>
        <w:t>d</w:t>
      </w:r>
      <w:r w:rsidR="00773D13" w:rsidRPr="00BD472F">
        <w:t>s = 0.20 to 0.32; Linardon et al., 2024).</w:t>
      </w:r>
      <w:r w:rsidR="004A322B" w:rsidRPr="00BD472F">
        <w:t xml:space="preserve"> The gap in effect sizes between meta-analytic estimates of meditation app RCTs and in-person delivered MBIs (</w:t>
      </w:r>
      <w:r w:rsidR="004A322B" w:rsidRPr="00BD472F">
        <w:rPr>
          <w:i/>
          <w:iCs/>
        </w:rPr>
        <w:t>d</w:t>
      </w:r>
      <w:r w:rsidR="00D90CC6" w:rsidRPr="00BD472F">
        <w:t>s = 0.59 to 0.89; Goldberg et al., 2018, 2019) supports efforts to increase the potency of meditation app interventions.</w:t>
      </w:r>
    </w:p>
    <w:p w14:paraId="4263BC5B" w14:textId="56EE1689" w:rsidR="00D90CC6" w:rsidRPr="00BD472F" w:rsidRDefault="00D90CC6" w:rsidP="002E2BA7">
      <w:pPr>
        <w:spacing w:line="480" w:lineRule="auto"/>
        <w:ind w:firstLine="720"/>
      </w:pPr>
      <w:r w:rsidRPr="00BD472F">
        <w:t xml:space="preserve">Meditation practice is </w:t>
      </w:r>
      <w:r w:rsidR="007944B6" w:rsidRPr="00BD472F">
        <w:t>theoretically</w:t>
      </w:r>
      <w:r w:rsidRPr="00BD472F">
        <w:t xml:space="preserve"> the central component in MBIs and meditation apps (Crane et al., 2017). Despite its centrality, there has been surprisingly little scientific work rigorously investigating the impact of meditation practice dosage on outcomes in these interventions. </w:t>
      </w:r>
      <w:r w:rsidR="005E09BA" w:rsidRPr="00BD472F">
        <w:t>A meta-analysis of 43 studies</w:t>
      </w:r>
      <w:r w:rsidRPr="00BD472F">
        <w:t xml:space="preserve"> </w:t>
      </w:r>
      <w:r w:rsidR="005E09BA" w:rsidRPr="00BD472F">
        <w:t xml:space="preserve">demonstrated that </w:t>
      </w:r>
      <w:r w:rsidRPr="00BD472F">
        <w:t xml:space="preserve">self-reported practice dosage is </w:t>
      </w:r>
      <w:r w:rsidR="005E09BA" w:rsidRPr="00BD472F">
        <w:t xml:space="preserve">moderately </w:t>
      </w:r>
      <w:r w:rsidRPr="00BD472F">
        <w:t xml:space="preserve">positively </w:t>
      </w:r>
      <w:r w:rsidR="005E09BA" w:rsidRPr="00BD472F">
        <w:t>correlated</w:t>
      </w:r>
      <w:r w:rsidRPr="00BD472F">
        <w:t xml:space="preserve"> with improvements in psychological outcomes</w:t>
      </w:r>
      <w:r w:rsidR="005E09BA" w:rsidRPr="00BD472F">
        <w:t xml:space="preserve"> (</w:t>
      </w:r>
      <w:r w:rsidR="005E09BA" w:rsidRPr="00BD472F">
        <w:rPr>
          <w:i/>
          <w:iCs/>
        </w:rPr>
        <w:t>r</w:t>
      </w:r>
      <w:r w:rsidR="005E09BA" w:rsidRPr="00BD472F">
        <w:t xml:space="preserve"> = .26)</w:t>
      </w:r>
      <w:r w:rsidRPr="00BD472F">
        <w:t xml:space="preserve"> in</w:t>
      </w:r>
      <w:r w:rsidR="007944B6" w:rsidRPr="00BD472F">
        <w:t xml:space="preserve"> </w:t>
      </w:r>
      <w:r w:rsidRPr="00BD472F">
        <w:t>MBSR and MBCT (Parsons et al., 2017)</w:t>
      </w:r>
      <w:r w:rsidR="00A04B04" w:rsidRPr="00BD472F">
        <w:t>.</w:t>
      </w:r>
      <w:r w:rsidR="005E09BA" w:rsidRPr="00BD472F">
        <w:t xml:space="preserve"> There is </w:t>
      </w:r>
      <w:r w:rsidR="007944B6" w:rsidRPr="00BD472F">
        <w:t>some</w:t>
      </w:r>
      <w:r w:rsidR="005E09BA" w:rsidRPr="00BD472F">
        <w:t xml:space="preserve"> evidence that practice dosage in meditation apps is also positively associated with improvements in psychological outcomes (Cearns &amp; Clark, 2023), although this association appears to be modest in magnitude and sensitive to methodological decisions made regarding modeling approach and outcome definition (Goldberg et al., 202</w:t>
      </w:r>
      <w:r w:rsidR="002C5294" w:rsidRPr="00BD472F">
        <w:t>5</w:t>
      </w:r>
      <w:r w:rsidR="005E09BA" w:rsidRPr="00BD472F">
        <w:t>).</w:t>
      </w:r>
    </w:p>
    <w:p w14:paraId="6FD416A6" w14:textId="238DB692" w:rsidR="004A322B" w:rsidRPr="00BD472F" w:rsidRDefault="007944B6" w:rsidP="002E2BA7">
      <w:pPr>
        <w:spacing w:line="480" w:lineRule="auto"/>
        <w:ind w:firstLine="720"/>
      </w:pPr>
      <w:r w:rsidRPr="00BD472F">
        <w:t>Arguably</w:t>
      </w:r>
      <w:r w:rsidR="000122F8" w:rsidRPr="00BD472F">
        <w:t>,</w:t>
      </w:r>
      <w:r w:rsidR="005E09BA" w:rsidRPr="00BD472F">
        <w:t xml:space="preserve"> the most </w:t>
      </w:r>
      <w:r w:rsidRPr="00BD472F">
        <w:t>definitive</w:t>
      </w:r>
      <w:r w:rsidR="005E09BA" w:rsidRPr="00BD472F">
        <w:t xml:space="preserve"> way to clarify the causal impact of meditation practice dosage in both MBIs</w:t>
      </w:r>
      <w:r w:rsidR="00255594" w:rsidRPr="00BD472F">
        <w:t xml:space="preserve"> generally</w:t>
      </w:r>
      <w:r w:rsidR="005E09BA" w:rsidRPr="00BD472F">
        <w:t xml:space="preserve"> and meditation apps</w:t>
      </w:r>
      <w:r w:rsidR="00255594" w:rsidRPr="00BD472F">
        <w:t xml:space="preserve"> specifically</w:t>
      </w:r>
      <w:r w:rsidR="005E09BA" w:rsidRPr="00BD472F">
        <w:t xml:space="preserve"> is by experimentally manipulating this intervention component. </w:t>
      </w:r>
      <w:r w:rsidR="003248E4" w:rsidRPr="00BD472F">
        <w:t>However, a</w:t>
      </w:r>
      <w:r w:rsidR="005E09BA" w:rsidRPr="00BD472F">
        <w:t xml:space="preserve"> recent systematic review found only </w:t>
      </w:r>
      <w:r w:rsidR="00436669" w:rsidRPr="00BD472F">
        <w:t>eight</w:t>
      </w:r>
      <w:r w:rsidR="005E09BA" w:rsidRPr="00BD472F">
        <w:t xml:space="preserve"> randomized trials that have manipulat</w:t>
      </w:r>
      <w:r w:rsidR="00134DAC" w:rsidRPr="00BD472F">
        <w:t>ed</w:t>
      </w:r>
      <w:r w:rsidR="005E09BA" w:rsidRPr="00BD472F">
        <w:t xml:space="preserve"> practice dosage </w:t>
      </w:r>
      <w:r w:rsidR="003248E4" w:rsidRPr="00BD472F">
        <w:t>(</w:t>
      </w:r>
      <w:r w:rsidR="00D85B09">
        <w:t>Strohmaier et al., 2026</w:t>
      </w:r>
      <w:r w:rsidR="003248E4" w:rsidRPr="00BD472F">
        <w:t>)</w:t>
      </w:r>
      <w:r w:rsidR="005E09BA" w:rsidRPr="00BD472F">
        <w:t>.</w:t>
      </w:r>
      <w:r w:rsidR="00C63165" w:rsidRPr="00BD472F">
        <w:t xml:space="preserve"> Results were inconsistent across these studies, with studies report</w:t>
      </w:r>
      <w:r w:rsidR="00CA7A75" w:rsidRPr="00BD472F">
        <w:t>ing</w:t>
      </w:r>
      <w:r w:rsidR="00C63165" w:rsidRPr="00BD472F">
        <w:t xml:space="preserve"> positive, null, and even negative associations between practice dosage and improved outcomes. </w:t>
      </w:r>
      <w:r w:rsidR="00BC2088" w:rsidRPr="00BD472F">
        <w:t>Importantly, none of these studies</w:t>
      </w:r>
      <w:r w:rsidR="003248E4" w:rsidRPr="00BD472F">
        <w:t xml:space="preserve"> included assessment of psychological</w:t>
      </w:r>
      <w:r w:rsidR="00C63165" w:rsidRPr="00BD472F">
        <w:t xml:space="preserve"> outcomes</w:t>
      </w:r>
      <w:r w:rsidR="003248E4" w:rsidRPr="00BD472F">
        <w:t xml:space="preserve"> </w:t>
      </w:r>
      <w:r w:rsidR="00CA7A75" w:rsidRPr="00BD472F">
        <w:t>amid</w:t>
      </w:r>
      <w:r w:rsidR="003248E4" w:rsidRPr="00BD472F">
        <w:t xml:space="preserve"> daily life activities. The use of ecological momentary assessment (EMA) may provide an important complementary perspective</w:t>
      </w:r>
      <w:r w:rsidR="00C63165" w:rsidRPr="00BD472F">
        <w:t xml:space="preserve"> to </w:t>
      </w:r>
      <w:r w:rsidR="00C63165" w:rsidRPr="00BD472F">
        <w:lastRenderedPageBreak/>
        <w:t>traditional retrospective self-report measures (e.g., Patient Health Questionnaire [PHQ] – 9; Kroenke et al., 2001)</w:t>
      </w:r>
      <w:r w:rsidR="003248E4" w:rsidRPr="00BD472F">
        <w:t xml:space="preserve"> </w:t>
      </w:r>
      <w:r w:rsidR="00CA7A75" w:rsidRPr="00BD472F">
        <w:t xml:space="preserve">given evidence these effects may appear on relatively short timescales (e.g., day-level effects; </w:t>
      </w:r>
      <w:r w:rsidR="00AD6642" w:rsidRPr="00BD472F">
        <w:t>Levi et al., 2021)</w:t>
      </w:r>
      <w:r w:rsidR="003248E4" w:rsidRPr="00BD472F">
        <w:t>.</w:t>
      </w:r>
      <w:r w:rsidR="00AD6642" w:rsidRPr="00BD472F">
        <w:t xml:space="preserve"> Evidence suggests that EMA assesses both overlapping and unique variance in psychological distress </w:t>
      </w:r>
      <w:r w:rsidR="00C63165" w:rsidRPr="00BD472F">
        <w:t xml:space="preserve">with that captured by retrospective self-report measures </w:t>
      </w:r>
      <w:r w:rsidR="00AD6642" w:rsidRPr="00BD472F">
        <w:t>(Webb et al., 202</w:t>
      </w:r>
      <w:r w:rsidR="006C1F17" w:rsidRPr="00BD472F">
        <w:t>5</w:t>
      </w:r>
      <w:r w:rsidR="00AD6642" w:rsidRPr="00BD472F">
        <w:t>). Moreover, the intensive, longitudinal data EMA provides can also increase statistical power (</w:t>
      </w:r>
      <w:r w:rsidR="00C6153F" w:rsidRPr="00BD472F">
        <w:t>Bolger &amp; Laurenceau, 2013</w:t>
      </w:r>
      <w:r w:rsidR="00AD6642" w:rsidRPr="00BD472F">
        <w:t>).</w:t>
      </w:r>
    </w:p>
    <w:p w14:paraId="33D0F30C" w14:textId="4E4180BF" w:rsidR="003F554D" w:rsidRPr="00BD472F" w:rsidRDefault="009D4326" w:rsidP="002E2BA7">
      <w:pPr>
        <w:spacing w:line="480" w:lineRule="auto"/>
        <w:ind w:firstLine="720"/>
      </w:pPr>
      <w:r w:rsidRPr="00BD472F">
        <w:t>The current study aimed to add to the budding literature manipulating practice dosage in meditation apps. Given the early stage of work in this area, an initial step involved evaluating the feasibility and acceptability of a study involving manipulation of practice dosage among adults with clinically elevated depression and/or anxiety</w:t>
      </w:r>
      <w:r w:rsidR="00CA7A75" w:rsidRPr="00BD472F">
        <w:t xml:space="preserve"> in a </w:t>
      </w:r>
      <w:proofErr w:type="gramStart"/>
      <w:r w:rsidR="00CA7A75" w:rsidRPr="00BD472F">
        <w:t>fully-remote</w:t>
      </w:r>
      <w:proofErr w:type="gramEnd"/>
      <w:r w:rsidR="00CA7A75" w:rsidRPr="00BD472F">
        <w:t xml:space="preserve"> design (i.e., no in-person components)</w:t>
      </w:r>
      <w:r w:rsidRPr="00BD472F">
        <w:t xml:space="preserve">. </w:t>
      </w:r>
      <w:r w:rsidR="003F554D" w:rsidRPr="00BD472F">
        <w:t xml:space="preserve">We investigated dosage manipulation using the Healthy Minds Program (HMP) app. </w:t>
      </w:r>
      <w:r w:rsidR="00CA7A75" w:rsidRPr="00BD472F">
        <w:t>HMP</w:t>
      </w:r>
      <w:r w:rsidR="003F554D" w:rsidRPr="00BD472F">
        <w:t xml:space="preserve"> is a freely available meditation app that has been downloaded over one million times around the world (</w:t>
      </w:r>
      <w:r w:rsidR="00FA18B7" w:rsidRPr="00BD472F">
        <w:t>https://hminnovations.org/</w:t>
      </w:r>
      <w:r w:rsidR="003F554D" w:rsidRPr="00BD472F">
        <w:t>). Several RCTs have demonstrated that HMP produces reductions in measures of psychological distress that persist up to five months following the intervention (Goldberg et al., 2020; Hirshberg et al., 2022).</w:t>
      </w:r>
      <w:r w:rsidR="009B4723" w:rsidRPr="00BD472F">
        <w:t xml:space="preserve"> Based on prior work demonstrating that the average minutes of meditation practice </w:t>
      </w:r>
      <w:r w:rsidR="000122F8" w:rsidRPr="00BD472F">
        <w:t xml:space="preserve">completed </w:t>
      </w:r>
      <w:r w:rsidR="009B4723" w:rsidRPr="00BD472F">
        <w:t>per day in RCTs of HMP is around 5 (Hirshberg et al., 2022)</w:t>
      </w:r>
      <w:r w:rsidR="00156101" w:rsidRPr="00BD472F">
        <w:t xml:space="preserve"> and that 5-15 minutes per day are a common dosage recommendation (e.g., Huberty</w:t>
      </w:r>
      <w:r w:rsidR="00873178" w:rsidRPr="00BD472F">
        <w:t xml:space="preserve">, </w:t>
      </w:r>
      <w:proofErr w:type="spellStart"/>
      <w:r w:rsidR="00873178" w:rsidRPr="00BD472F">
        <w:t>Puzia</w:t>
      </w:r>
      <w:proofErr w:type="spellEnd"/>
      <w:r w:rsidR="00873178" w:rsidRPr="00BD472F">
        <w:t>,</w:t>
      </w:r>
      <w:r w:rsidR="00156101" w:rsidRPr="00BD472F">
        <w:t xml:space="preserve"> et al., 2021)</w:t>
      </w:r>
      <w:r w:rsidR="009B4723" w:rsidRPr="00BD472F">
        <w:t>, we defined high and low dosage conditions as 15- and 5-minutes of practice</w:t>
      </w:r>
      <w:r w:rsidR="002E1A18" w:rsidRPr="00BD472F">
        <w:t xml:space="preserve"> per day</w:t>
      </w:r>
      <w:r w:rsidR="009B4723" w:rsidRPr="00BD472F">
        <w:t>, respectively.</w:t>
      </w:r>
    </w:p>
    <w:p w14:paraId="323BCF88" w14:textId="691F3B0F" w:rsidR="00AD52B6" w:rsidRPr="00BD472F" w:rsidRDefault="00CA7A75" w:rsidP="00CA5F70">
      <w:pPr>
        <w:spacing w:line="480" w:lineRule="auto"/>
        <w:ind w:firstLine="720"/>
      </w:pPr>
      <w:r w:rsidRPr="00BD472F">
        <w:t>The study design, hypotheses, and analytic plan were</w:t>
      </w:r>
      <w:r w:rsidR="009D4326" w:rsidRPr="00BD472F">
        <w:t xml:space="preserve"> preregistered on ClinicalTrials.gov (NCT05229406) and the Open Science Framework </w:t>
      </w:r>
      <w:r w:rsidR="00747122">
        <w:t>(</w:t>
      </w:r>
      <w:r w:rsidR="00747122" w:rsidRPr="00747122">
        <w:rPr>
          <w:rStyle w:val="Hyperlink"/>
          <w:color w:val="000000" w:themeColor="text1"/>
          <w:u w:val="none"/>
        </w:rPr>
        <w:t>https://osf.io/fszvj/overview</w:t>
      </w:r>
      <w:r w:rsidR="009D4326" w:rsidRPr="00BD472F">
        <w:t>).</w:t>
      </w:r>
      <w:r w:rsidR="00384AF0" w:rsidRPr="00BD472F">
        <w:t xml:space="preserve"> </w:t>
      </w:r>
      <w:r w:rsidR="00555659" w:rsidRPr="00BD472F">
        <w:t>Lacking widely agreed upon b</w:t>
      </w:r>
      <w:r w:rsidR="00384AF0" w:rsidRPr="00BD472F">
        <w:t>enchmarks for evaluating feasibility and acceptability</w:t>
      </w:r>
      <w:r w:rsidR="00555659" w:rsidRPr="00BD472F">
        <w:t xml:space="preserve"> (Avery et al., 2017), benchmarks for this study</w:t>
      </w:r>
      <w:r w:rsidR="00384AF0" w:rsidRPr="00BD472F">
        <w:t xml:space="preserve"> were based on feedback from grant reviewers and</w:t>
      </w:r>
      <w:r w:rsidR="0084293C" w:rsidRPr="00BD472F">
        <w:t xml:space="preserve"> were created</w:t>
      </w:r>
      <w:r w:rsidR="00384AF0" w:rsidRPr="00BD472F">
        <w:t xml:space="preserve"> in </w:t>
      </w:r>
      <w:r w:rsidR="00384AF0" w:rsidRPr="00BD472F">
        <w:lastRenderedPageBreak/>
        <w:t>consultation with National Institutes of Health staff.</w:t>
      </w:r>
      <w:r w:rsidR="003F554D" w:rsidRPr="00BD472F">
        <w:t xml:space="preserve"> We made the following hypotheses:</w:t>
      </w:r>
      <w:r w:rsidR="008B08BF" w:rsidRPr="00BD472F">
        <w:t xml:space="preserve"> (1) </w:t>
      </w:r>
      <w:r w:rsidR="003F554D" w:rsidRPr="00BD472F">
        <w:t>Study procedures will be feasible to implement. This was operationalized as</w:t>
      </w:r>
      <w:r w:rsidR="00AD52B6" w:rsidRPr="00BD472F">
        <w:t xml:space="preserve"> (a)</w:t>
      </w:r>
      <w:r w:rsidR="003F554D" w:rsidRPr="00BD472F">
        <w:t xml:space="preserve"> </w:t>
      </w:r>
      <w:r w:rsidR="008B08BF" w:rsidRPr="00BD472F">
        <w:t>&gt;</w:t>
      </w:r>
      <w:r w:rsidR="003F554D" w:rsidRPr="00BD472F">
        <w:t>90% of those randomized completing ≥1 EMA assessment and ≥1 activity on the HMP app</w:t>
      </w:r>
      <w:r w:rsidR="00AD52B6" w:rsidRPr="00BD472F">
        <w:t xml:space="preserve">; (b) </w:t>
      </w:r>
      <w:r w:rsidR="008B08BF" w:rsidRPr="00BD472F">
        <w:t>&gt;</w:t>
      </w:r>
      <w:r w:rsidR="00AD52B6" w:rsidRPr="00BD472F">
        <w:t xml:space="preserve">70% of participants adhering to their assigned dosage level ≥50% of days; (c) </w:t>
      </w:r>
      <w:r w:rsidR="008B08BF" w:rsidRPr="00BD472F">
        <w:t>&gt;</w:t>
      </w:r>
      <w:r w:rsidR="00AD52B6" w:rsidRPr="00BD472F">
        <w:t xml:space="preserve">70% of EMAs completed; (d) </w:t>
      </w:r>
      <w:r w:rsidR="008B08BF" w:rsidRPr="00BD472F">
        <w:t>&gt;</w:t>
      </w:r>
      <w:r w:rsidR="00AD52B6" w:rsidRPr="00BD472F">
        <w:t>75% completing pre- and post-treatment measures.</w:t>
      </w:r>
      <w:r w:rsidR="008B08BF" w:rsidRPr="00BD472F">
        <w:t xml:space="preserve"> (2) </w:t>
      </w:r>
      <w:r w:rsidR="00AD52B6" w:rsidRPr="00BD472F">
        <w:t xml:space="preserve">The HMP app will be perceived as acceptable. This was operationalized as </w:t>
      </w:r>
      <w:r w:rsidR="008B08BF" w:rsidRPr="00BD472F">
        <w:t>&gt;</w:t>
      </w:r>
      <w:r w:rsidR="00AD52B6" w:rsidRPr="00BD472F">
        <w:t>70% completing a</w:t>
      </w:r>
      <w:r w:rsidR="000122F8" w:rsidRPr="00BD472F">
        <w:t>ny</w:t>
      </w:r>
      <w:r w:rsidR="00AD52B6" w:rsidRPr="00BD472F">
        <w:t xml:space="preserve"> practice on ≥50% of days; Modified System Usability Scale score ≥70 out of 100.</w:t>
      </w:r>
      <w:r w:rsidR="00CA5F70" w:rsidRPr="00BD472F">
        <w:t xml:space="preserve"> (3) </w:t>
      </w:r>
      <w:r w:rsidR="00AD52B6" w:rsidRPr="00BD472F">
        <w:t>The high dosage condition will have more total minutes of practice but will not differ on days of practice or activities completed. This was operationalized using meditation practice minutes, days of HMP use, and activities completed assessed objectively via the HMP app.</w:t>
      </w:r>
    </w:p>
    <w:p w14:paraId="3EF74D51" w14:textId="239AFE0F" w:rsidR="006B0ACF" w:rsidRPr="00BD472F" w:rsidRDefault="006B0ACF" w:rsidP="006B0ACF">
      <w:pPr>
        <w:spacing w:line="480" w:lineRule="auto"/>
        <w:ind w:firstLine="720"/>
      </w:pPr>
      <w:r w:rsidRPr="00BD472F">
        <w:t xml:space="preserve">In addition to these preregistered hypotheses, we conducted </w:t>
      </w:r>
      <w:r w:rsidR="00DF14CE" w:rsidRPr="00BD472F">
        <w:t>non-preregistered</w:t>
      </w:r>
      <w:r w:rsidRPr="00BD472F">
        <w:t xml:space="preserve"> analyses examining differences between the high and low dosage conditions on both retrospective self-report measures and EMA of psychological distress.</w:t>
      </w:r>
      <w:r w:rsidR="00CA7A75" w:rsidRPr="00BD472F">
        <w:t xml:space="preserve"> </w:t>
      </w:r>
      <w:r w:rsidR="00AC4172" w:rsidRPr="00BD472F">
        <w:t xml:space="preserve">We also </w:t>
      </w:r>
      <w:r w:rsidR="00ED0E30" w:rsidRPr="00BD472F">
        <w:t xml:space="preserve">conducted qualitative interviews </w:t>
      </w:r>
      <w:r w:rsidR="000122F8" w:rsidRPr="00BD472F">
        <w:t xml:space="preserve">with a subsample of participants </w:t>
      </w:r>
      <w:r w:rsidR="00AC4172" w:rsidRPr="00BD472F">
        <w:t xml:space="preserve">evaluating the feasibility and acceptability of the study procedures, </w:t>
      </w:r>
      <w:r w:rsidR="00A43DF9" w:rsidRPr="00BD472F">
        <w:t>given</w:t>
      </w:r>
      <w:r w:rsidR="00AC4172" w:rsidRPr="00BD472F">
        <w:t xml:space="preserve"> qualitative data can capture information not easily gathered quantitative</w:t>
      </w:r>
      <w:r w:rsidR="00A43DF9" w:rsidRPr="00BD472F">
        <w:t>ly</w:t>
      </w:r>
      <w:r w:rsidR="00AC4172" w:rsidRPr="00BD472F">
        <w:t xml:space="preserve"> (</w:t>
      </w:r>
      <w:r w:rsidR="00B817B7" w:rsidRPr="00BD472F">
        <w:t>e.g., Peters, 2010</w:t>
      </w:r>
      <w:r w:rsidR="00AC4172" w:rsidRPr="00BD472F">
        <w:t>).</w:t>
      </w:r>
      <w:r w:rsidR="0061514C" w:rsidRPr="00BD472F">
        <w:t xml:space="preserve"> We also reported adverse experiences and serious adverse events.</w:t>
      </w:r>
    </w:p>
    <w:p w14:paraId="50EA78BE" w14:textId="2586F28E" w:rsidR="00D6288F" w:rsidRPr="00BD472F" w:rsidRDefault="00D6288F" w:rsidP="00F765C7">
      <w:pPr>
        <w:pStyle w:val="Heading2"/>
      </w:pPr>
      <w:r w:rsidRPr="00BD472F">
        <w:t>Methods</w:t>
      </w:r>
    </w:p>
    <w:p w14:paraId="66230468" w14:textId="666C7562" w:rsidR="00D6288F" w:rsidRPr="00BD472F" w:rsidRDefault="00D6288F" w:rsidP="00F765C7">
      <w:pPr>
        <w:pStyle w:val="Heading3"/>
      </w:pPr>
      <w:r w:rsidRPr="00BD472F">
        <w:t>Participants</w:t>
      </w:r>
    </w:p>
    <w:p w14:paraId="7DA4EC9C" w14:textId="430AD4A8" w:rsidR="00AE2D3C" w:rsidRPr="00BD472F" w:rsidRDefault="003967A1" w:rsidP="00EC7DB6">
      <w:pPr>
        <w:spacing w:line="480" w:lineRule="auto"/>
      </w:pPr>
      <w:r w:rsidRPr="00BD472F">
        <w:rPr>
          <w:b/>
          <w:bCs/>
        </w:rPr>
        <w:tab/>
      </w:r>
      <w:r w:rsidR="004D2F03" w:rsidRPr="00BD472F">
        <w:t xml:space="preserve">Participants with clinically elevated depression and/or anxiety symptoms (Patient-Reported Outcomes </w:t>
      </w:r>
      <w:r w:rsidR="00794ACD" w:rsidRPr="00BD472F">
        <w:t>Measurement Information</w:t>
      </w:r>
      <w:r w:rsidR="004D2F03" w:rsidRPr="00BD472F">
        <w:t xml:space="preserve"> System [PROMIS] Depression or Anxiety &gt;55; </w:t>
      </w:r>
      <w:proofErr w:type="spellStart"/>
      <w:r w:rsidR="004D2F03" w:rsidRPr="00BD472F">
        <w:t>Pilkonis</w:t>
      </w:r>
      <w:proofErr w:type="spellEnd"/>
      <w:r w:rsidR="004D2F03" w:rsidRPr="00BD472F">
        <w:t xml:space="preserve"> et al., 2011) were recruited using flyers, media ads for outlets serving minoritized populations, and </w:t>
      </w:r>
      <w:r w:rsidR="00161D35" w:rsidRPr="00BD472F">
        <w:t>emails to the University of Wisconsin – Madison campus community.</w:t>
      </w:r>
      <w:r w:rsidR="00F37F2B" w:rsidRPr="00BD472F">
        <w:t xml:space="preserve"> Additional inclusion criteria included: age ≥18; access to a smartphone or other device capable </w:t>
      </w:r>
      <w:r w:rsidR="00F37F2B" w:rsidRPr="00BD472F">
        <w:lastRenderedPageBreak/>
        <w:t xml:space="preserve">of downloading the HMP app; self-reported willingness to complete </w:t>
      </w:r>
      <w:proofErr w:type="gramStart"/>
      <w:r w:rsidR="00F37F2B" w:rsidRPr="00BD472F">
        <w:t>1-</w:t>
      </w:r>
      <w:r w:rsidR="006A3C38" w:rsidRPr="00BD472F">
        <w:t xml:space="preserve">2 </w:t>
      </w:r>
      <w:r w:rsidR="00F37F2B" w:rsidRPr="00BD472F">
        <w:t>minute</w:t>
      </w:r>
      <w:proofErr w:type="gramEnd"/>
      <w:r w:rsidR="00F37F2B" w:rsidRPr="00BD472F">
        <w:t xml:space="preserve"> surveys four times per day on one’s phone for </w:t>
      </w:r>
      <w:r w:rsidR="004A4579" w:rsidRPr="00BD472F">
        <w:t>4</w:t>
      </w:r>
      <w:r w:rsidR="00F37F2B" w:rsidRPr="00BD472F">
        <w:t xml:space="preserve"> weeks; ability to speak, read, and write in English. Exclusion criteria included: meditation retreat experience; regular meditation practice defined as weekly practice for over one year or daily practice within the previous six months; previous practice under the instruction of a meditation teacher, other than in the context of an introductory course; severe depression symptoms (PROMIS Depression &gt;70); elevated risk for alcohol use disorder defined as an Alcohol Use Disorders Identification Test (AUDIT) – C</w:t>
      </w:r>
      <w:r w:rsidR="004A4579" w:rsidRPr="00BD472F">
        <w:t xml:space="preserve"> (Bradley et al., 2007)</w:t>
      </w:r>
      <w:r w:rsidR="00F37F2B" w:rsidRPr="00BD472F">
        <w:t xml:space="preserve"> score </w:t>
      </w:r>
      <w:r w:rsidR="00780C1F" w:rsidRPr="00BD472F">
        <w:t>≥</w:t>
      </w:r>
      <w:r w:rsidR="00F37F2B" w:rsidRPr="00BD472F">
        <w:t>4 for men or ≥3 for non-men (any other genders).</w:t>
      </w:r>
    </w:p>
    <w:p w14:paraId="56251E62" w14:textId="37E95ABE" w:rsidR="00D6288F" w:rsidRPr="00BD472F" w:rsidRDefault="00D6288F" w:rsidP="00F765C7">
      <w:pPr>
        <w:pStyle w:val="Heading3"/>
      </w:pPr>
      <w:r w:rsidRPr="00BD472F">
        <w:t>Procedure</w:t>
      </w:r>
    </w:p>
    <w:p w14:paraId="2BF34104" w14:textId="1DC2A4C1" w:rsidR="00AC4172" w:rsidRPr="00BD472F" w:rsidRDefault="006A3C38" w:rsidP="00D6288F">
      <w:pPr>
        <w:spacing w:line="480" w:lineRule="auto"/>
      </w:pPr>
      <w:r w:rsidRPr="00BD472F">
        <w:rPr>
          <w:b/>
          <w:bCs/>
        </w:rPr>
        <w:tab/>
      </w:r>
      <w:r w:rsidRPr="00BD472F">
        <w:t xml:space="preserve">Interested participants completed a screening questionnaire delivered through REDCap which assessed their eligibility. Participants deemed eligible following screening were invited to complete an electronic informed consent process and baseline questionnaires (described below). Participants who completed the baseline questionnaires were invited to schedule a </w:t>
      </w:r>
      <w:r w:rsidR="00A276A4" w:rsidRPr="00BD472F">
        <w:t>phone</w:t>
      </w:r>
      <w:r w:rsidRPr="00BD472F">
        <w:t xml:space="preserve"> call with a member of the research team. </w:t>
      </w:r>
      <w:r w:rsidR="001B7DBA" w:rsidRPr="00BD472F">
        <w:t>During this meeting, participants were randomized using the randomization feature in REDCap and were sent login information for receiving their study-specific version of the HMP app.</w:t>
      </w:r>
      <w:r w:rsidR="00A276A4" w:rsidRPr="00BD472F">
        <w:t xml:space="preserve"> Staff </w:t>
      </w:r>
      <w:proofErr w:type="gramStart"/>
      <w:r w:rsidR="00A276A4" w:rsidRPr="00BD472F">
        <w:t>provided assistance</w:t>
      </w:r>
      <w:proofErr w:type="gramEnd"/>
      <w:r w:rsidR="00A276A4" w:rsidRPr="00BD472F">
        <w:t xml:space="preserve"> with downloading the app as needed during the call.</w:t>
      </w:r>
      <w:r w:rsidR="001B7DBA" w:rsidRPr="00BD472F">
        <w:t xml:space="preserve"> </w:t>
      </w:r>
      <w:r w:rsidR="00510CAC" w:rsidRPr="00BD472F">
        <w:t>Participants were asked to complete a 5- or 15-minute meditation practice in the HMP app daily, based on their group assignment.</w:t>
      </w:r>
      <w:r w:rsidR="00384AF0" w:rsidRPr="00BD472F">
        <w:t xml:space="preserve"> The study team did not follow-up with participants to encourage them to use the HMP app.</w:t>
      </w:r>
      <w:r w:rsidR="00F81704" w:rsidRPr="00BD472F">
        <w:t xml:space="preserve"> Separate versions of HMP were provided for each group that included only 5- o</w:t>
      </w:r>
      <w:r w:rsidR="00780C1F" w:rsidRPr="00BD472F">
        <w:t>r</w:t>
      </w:r>
      <w:r w:rsidR="00F81704" w:rsidRPr="00BD472F">
        <w:t xml:space="preserve"> 15-minute meditation practices.</w:t>
      </w:r>
      <w:r w:rsidR="00510CAC" w:rsidRPr="00BD472F">
        <w:t xml:space="preserve"> </w:t>
      </w:r>
      <w:r w:rsidR="001B7DBA" w:rsidRPr="00BD472F">
        <w:t>EMA assessments began the morning following randomization and continued for all 28 days of the 4-week intervention period.</w:t>
      </w:r>
      <w:r w:rsidR="00D871DA" w:rsidRPr="00BD472F">
        <w:t xml:space="preserve"> EMA was delivered via text messages with links to REDCap surveys.</w:t>
      </w:r>
      <w:r w:rsidR="008F3FB1" w:rsidRPr="00BD472F">
        <w:t xml:space="preserve"> EMAs were sent four times per day</w:t>
      </w:r>
      <w:r w:rsidR="00A276A4" w:rsidRPr="00BD472F">
        <w:t xml:space="preserve"> between 9am and 7pm</w:t>
      </w:r>
      <w:r w:rsidR="008F3FB1" w:rsidRPr="00BD472F">
        <w:t>, with timing randomized during each of four block</w:t>
      </w:r>
      <w:r w:rsidR="006C64A3" w:rsidRPr="00BD472F">
        <w:t>s</w:t>
      </w:r>
      <w:r w:rsidR="008F3FB1" w:rsidRPr="00BD472F">
        <w:t xml:space="preserve">. </w:t>
      </w:r>
      <w:r w:rsidR="001B7DBA" w:rsidRPr="00BD472F">
        <w:t xml:space="preserve"> </w:t>
      </w:r>
      <w:r w:rsidR="001B7DBA" w:rsidRPr="00BD472F">
        <w:lastRenderedPageBreak/>
        <w:t>At the end of the intervention period, participants were invited to complete a final set of questionnaires.</w:t>
      </w:r>
      <w:r w:rsidR="00AC4172" w:rsidRPr="00BD472F">
        <w:t xml:space="preserve"> </w:t>
      </w:r>
    </w:p>
    <w:p w14:paraId="1A0D6F46" w14:textId="158E6BDE" w:rsidR="00A276A4" w:rsidRPr="00BD472F" w:rsidRDefault="00EC7DB6" w:rsidP="00AC4172">
      <w:pPr>
        <w:spacing w:line="480" w:lineRule="auto"/>
        <w:ind w:firstLine="720"/>
      </w:pPr>
      <w:r w:rsidRPr="00BD472F">
        <w:rPr>
          <w:rFonts w:eastAsia="Times New Roman"/>
          <w:color w:val="000000" w:themeColor="text1"/>
        </w:rPr>
        <w:t>Following the four-week trial, twenty-eight participants</w:t>
      </w:r>
      <w:r w:rsidR="00AC4172" w:rsidRPr="00BD472F">
        <w:t xml:space="preserve"> were invited to complete an exit interview providing qualitative data about their experience in the study. </w:t>
      </w:r>
      <w:r w:rsidRPr="00BD472F">
        <w:t>T</w:t>
      </w:r>
      <w:r w:rsidR="00AC4172" w:rsidRPr="00BD472F">
        <w:t>o maximize variation in participants’ perspectives</w:t>
      </w:r>
      <w:r w:rsidR="00F81704" w:rsidRPr="00BD472F">
        <w:t xml:space="preserve"> (Palinkas et al., 2015)</w:t>
      </w:r>
      <w:r w:rsidR="00AC4172" w:rsidRPr="00BD472F">
        <w:t>, we oversampled racial/ethnic minority participants and participants who ranged in their level of engagement with study procedures (i.e., HMP use, measure completion). Ultimately, 21 participants expressed interest in the exit interview</w:t>
      </w:r>
      <w:r w:rsidR="008F0058" w:rsidRPr="00BD472F">
        <w:t>,</w:t>
      </w:r>
      <w:r w:rsidR="00AC4172" w:rsidRPr="00BD472F">
        <w:t xml:space="preserve"> and 20 completed the interview. One interviewer (</w:t>
      </w:r>
      <w:r w:rsidR="00D85B09">
        <w:t>RLD</w:t>
      </w:r>
      <w:r w:rsidR="00AC4172" w:rsidRPr="00BD472F">
        <w:t>) familiar with HMP and qualitative research methods conducted all interviews.</w:t>
      </w:r>
    </w:p>
    <w:p w14:paraId="7D97054A" w14:textId="50BDC3F8" w:rsidR="006A3C38" w:rsidRPr="00BD472F" w:rsidRDefault="00A276A4" w:rsidP="00AC4172">
      <w:pPr>
        <w:spacing w:line="480" w:lineRule="auto"/>
        <w:ind w:firstLine="720"/>
      </w:pPr>
      <w:r w:rsidRPr="00BD472F">
        <w:t>Participants were compensated up to $170 for completing study procedures. Participants were paid $100 for completing both the pre-treatment and post-treatment questionnaires, $50 for completing an average of three out of four EMA surveys, and $20 for completing the optional exit interview. No compensation was based on participants</w:t>
      </w:r>
      <w:r w:rsidR="008F0058" w:rsidRPr="00BD472F">
        <w:t>’</w:t>
      </w:r>
      <w:r w:rsidRPr="00BD472F">
        <w:t xml:space="preserve"> use of HMP.</w:t>
      </w:r>
    </w:p>
    <w:p w14:paraId="60A47F73" w14:textId="6E915AB9" w:rsidR="00D6288F" w:rsidRPr="00BD472F" w:rsidRDefault="00D6288F" w:rsidP="00F765C7">
      <w:pPr>
        <w:pStyle w:val="Heading3"/>
      </w:pPr>
      <w:r w:rsidRPr="00BD472F">
        <w:t>Materials</w:t>
      </w:r>
    </w:p>
    <w:p w14:paraId="450A2547" w14:textId="2CF576E5" w:rsidR="00D6288F" w:rsidRPr="00BD472F" w:rsidRDefault="00D6288F" w:rsidP="00F765C7">
      <w:pPr>
        <w:pStyle w:val="Heading4"/>
      </w:pPr>
      <w:r w:rsidRPr="00BD472F">
        <w:t>Intervention</w:t>
      </w:r>
    </w:p>
    <w:p w14:paraId="5B96AEF6" w14:textId="7CEBBC9B" w:rsidR="001B7DBA" w:rsidRPr="00BD472F" w:rsidRDefault="001B7DBA" w:rsidP="00D6288F">
      <w:pPr>
        <w:spacing w:line="480" w:lineRule="auto"/>
      </w:pPr>
      <w:r w:rsidRPr="00BD472F">
        <w:rPr>
          <w:b/>
          <w:bCs/>
          <w:i/>
          <w:iCs/>
        </w:rPr>
        <w:tab/>
      </w:r>
      <w:r w:rsidRPr="00BD472F">
        <w:t>All participants received a study-specific version of HMP. HMP is a freely available digital well-being intervention</w:t>
      </w:r>
      <w:r w:rsidR="00C933CC" w:rsidRPr="00BD472F">
        <w:t xml:space="preserve"> that is based on a four-part model of well-being: awareness, connection, insight, and purpose (Dahl et al., 2020). It includes a series of psychoeducational didactic content</w:t>
      </w:r>
      <w:r w:rsidR="004F0D66" w:rsidRPr="00BD472F">
        <w:t xml:space="preserve"> (i.e., lessons)</w:t>
      </w:r>
      <w:r w:rsidR="00C933CC" w:rsidRPr="00BD472F">
        <w:t xml:space="preserve"> and guided meditation practice</w:t>
      </w:r>
      <w:r w:rsidR="00D16DD4" w:rsidRPr="00BD472F">
        <w:t xml:space="preserve"> focused in these four areas. The awareness module includes training in attention regulation and meta-awareness (i.e., mindfulness). The connection module focuses on cultivating positive relationships with oneself and others through developing compassion and appreciation skills. The insight module focuses on developing insight into the nature of the self and internal experience. The purpose module focuses on clarifying one’s purpose and values and connecting these to activities of daily life. </w:t>
      </w:r>
    </w:p>
    <w:p w14:paraId="59DBBBDA" w14:textId="1BE0E1AC" w:rsidR="001B7DBA" w:rsidRPr="00BD472F" w:rsidRDefault="00D16DD4" w:rsidP="00D6288F">
      <w:pPr>
        <w:spacing w:line="480" w:lineRule="auto"/>
      </w:pPr>
      <w:r w:rsidRPr="00BD472F">
        <w:lastRenderedPageBreak/>
        <w:tab/>
        <w:t>Participants were asked to complete the four-week Foundations portion of the HMP during the intervention period. This includes a week focused on each of the four modules (awareness, connection, insight, purpose). While the publicly available version of HMP includes guided meditation practices that range in length from 5 to 30 minutes, the study-specific versions included only 5- or 15-minute practices</w:t>
      </w:r>
      <w:r w:rsidR="0059181E" w:rsidRPr="00BD472F">
        <w:t xml:space="preserve"> (Supplemental Materials Table 1)</w:t>
      </w:r>
      <w:r w:rsidRPr="00BD472F">
        <w:t>, based on participants’ group assignment.</w:t>
      </w:r>
      <w:r w:rsidR="00D871DA" w:rsidRPr="00BD472F">
        <w:t xml:space="preserve"> Participants</w:t>
      </w:r>
      <w:r w:rsidR="008F0058" w:rsidRPr="00BD472F">
        <w:t>’</w:t>
      </w:r>
      <w:r w:rsidR="00D871DA" w:rsidRPr="00BD472F">
        <w:t xml:space="preserve"> engagement with HMP was gathered objectively through the app.</w:t>
      </w:r>
    </w:p>
    <w:p w14:paraId="40EA9459" w14:textId="33B28F2A" w:rsidR="00D6288F" w:rsidRPr="00BD472F" w:rsidRDefault="00D6288F" w:rsidP="00F765C7">
      <w:pPr>
        <w:pStyle w:val="Heading3"/>
      </w:pPr>
      <w:r w:rsidRPr="00BD472F">
        <w:t>Measures</w:t>
      </w:r>
    </w:p>
    <w:p w14:paraId="6356D39E" w14:textId="136F3EE5" w:rsidR="00D6288F" w:rsidRPr="00BD472F" w:rsidRDefault="00D6288F" w:rsidP="00F765C7">
      <w:pPr>
        <w:pStyle w:val="Heading4"/>
      </w:pPr>
      <w:r w:rsidRPr="00BD472F">
        <w:t>Feasibility</w:t>
      </w:r>
    </w:p>
    <w:p w14:paraId="50E1187C" w14:textId="7CBEB9E9" w:rsidR="00D871DA" w:rsidRPr="00BD472F" w:rsidRDefault="00D871DA" w:rsidP="00D6288F">
      <w:pPr>
        <w:spacing w:line="480" w:lineRule="auto"/>
      </w:pPr>
      <w:r w:rsidRPr="00BD472F">
        <w:rPr>
          <w:b/>
          <w:bCs/>
          <w:i/>
          <w:iCs/>
        </w:rPr>
        <w:tab/>
      </w:r>
      <w:r w:rsidRPr="00BD472F">
        <w:t>Several objective metrics were used to define the feasibility of study procedures. Completion of EMA assessments was gathered through REDCap. Completion of activities</w:t>
      </w:r>
      <w:r w:rsidR="00C12856" w:rsidRPr="00BD472F">
        <w:t xml:space="preserve"> (i.e., listening to didactic content and/or completing meditation practices)</w:t>
      </w:r>
      <w:r w:rsidRPr="00BD472F">
        <w:t xml:space="preserve"> on HMP was gathered directly through the HMP app.</w:t>
      </w:r>
      <w:r w:rsidR="00C12856" w:rsidRPr="00BD472F">
        <w:t xml:space="preserve"> Completion of pre- and post-treatment measures was gathered through REDCap.</w:t>
      </w:r>
    </w:p>
    <w:p w14:paraId="1E4C0D20" w14:textId="03443191" w:rsidR="00D6288F" w:rsidRPr="00BD472F" w:rsidRDefault="00D6288F" w:rsidP="00F765C7">
      <w:pPr>
        <w:pStyle w:val="Heading4"/>
      </w:pPr>
      <w:r w:rsidRPr="00BD472F">
        <w:t>Acceptability</w:t>
      </w:r>
    </w:p>
    <w:p w14:paraId="0B5C997E" w14:textId="6FCB942D" w:rsidR="00462543" w:rsidRPr="00BD472F" w:rsidRDefault="00462543" w:rsidP="00D6288F">
      <w:pPr>
        <w:spacing w:line="480" w:lineRule="auto"/>
      </w:pPr>
      <w:r w:rsidRPr="00BD472F">
        <w:rPr>
          <w:b/>
          <w:bCs/>
          <w:i/>
          <w:iCs/>
        </w:rPr>
        <w:tab/>
      </w:r>
      <w:r w:rsidRPr="00BD472F">
        <w:t xml:space="preserve">The acceptability of HMP was evaluated using a combination of objective and self-report data. Practice completion was gathered directly through the HMP app. The Modified System Usability Scale (MSUS; Bangor et al., 2008) was used to assess subjective ratings of HMP acceptability. </w:t>
      </w:r>
      <w:r w:rsidR="008D5A4D" w:rsidRPr="00BD472F">
        <w:t>The MSUS is a</w:t>
      </w:r>
      <w:r w:rsidR="006471B4" w:rsidRPr="00BD472F">
        <w:t xml:space="preserve"> widely used,</w:t>
      </w:r>
      <w:r w:rsidR="008D5A4D" w:rsidRPr="00BD472F">
        <w:t xml:space="preserve"> 10-item measure assessing the degree to which an individual finds a certain product to be usable</w:t>
      </w:r>
      <w:r w:rsidR="006471B4" w:rsidRPr="00BD472F">
        <w:t xml:space="preserve"> (e.g., “I think I would like to use this product frequently”, “I thought the product was easy to use”)</w:t>
      </w:r>
      <w:r w:rsidR="008D5A4D" w:rsidRPr="00BD472F">
        <w:t>.</w:t>
      </w:r>
      <w:r w:rsidR="006471B4" w:rsidRPr="00BD472F">
        <w:t xml:space="preserve"> Items were rated on a 1 (strongly disagree) to 5 (strongly agree) scale. Total scores were converted to 0 to 100, with higher scores reflecting great</w:t>
      </w:r>
      <w:r w:rsidR="00780C1F" w:rsidRPr="00BD472F">
        <w:t>er</w:t>
      </w:r>
      <w:r w:rsidR="006471B4" w:rsidRPr="00BD472F">
        <w:t xml:space="preserve"> usability. Following Bangor et al. (2008), we considered MSUS scores ≥70 as reflecting acceptable usability. Internal consistency in the current sample was adequate (</w:t>
      </w:r>
      <w:r w:rsidR="006471B4" w:rsidRPr="00BD472F">
        <w:rPr>
          <w:rFonts w:ascii="Symbol" w:hAnsi="Symbol"/>
        </w:rPr>
        <w:t></w:t>
      </w:r>
      <w:r w:rsidR="006471B4" w:rsidRPr="00BD472F">
        <w:t xml:space="preserve"> = .86).</w:t>
      </w:r>
    </w:p>
    <w:p w14:paraId="07D7446A" w14:textId="5690A074" w:rsidR="00D6288F" w:rsidRPr="00BD472F" w:rsidRDefault="00D6288F" w:rsidP="00F765C7">
      <w:pPr>
        <w:pStyle w:val="Heading4"/>
      </w:pPr>
      <w:r w:rsidRPr="00BD472F">
        <w:lastRenderedPageBreak/>
        <w:t>Retrospective Self-Report</w:t>
      </w:r>
    </w:p>
    <w:p w14:paraId="45D40A75" w14:textId="4449A002" w:rsidR="00B06978" w:rsidRPr="00BD472F" w:rsidRDefault="006471B4" w:rsidP="00D6288F">
      <w:pPr>
        <w:spacing w:line="480" w:lineRule="auto"/>
      </w:pPr>
      <w:r w:rsidRPr="00BD472F">
        <w:rPr>
          <w:b/>
          <w:bCs/>
          <w:i/>
          <w:iCs/>
        </w:rPr>
        <w:tab/>
      </w:r>
      <w:r w:rsidR="006B4624" w:rsidRPr="00BD472F">
        <w:t xml:space="preserve">Retrospective assessment of psychological distress was gathered through the </w:t>
      </w:r>
      <w:r w:rsidR="00437258" w:rsidRPr="00BD472F">
        <w:t>computer adaptive test</w:t>
      </w:r>
      <w:r w:rsidR="006B4624" w:rsidRPr="00BD472F">
        <w:t xml:space="preserve"> versions of the PROMIS Depression and Anxiety scales.</w:t>
      </w:r>
      <w:r w:rsidR="008D04C8" w:rsidRPr="00BD472F">
        <w:t xml:space="preserve"> These measures assess the degree to which an individual reports experienc</w:t>
      </w:r>
      <w:r w:rsidR="00B06978" w:rsidRPr="00BD472F">
        <w:t>ing</w:t>
      </w:r>
      <w:r w:rsidR="008D04C8" w:rsidRPr="00BD472F">
        <w:t xml:space="preserve"> symptoms of depression (e.g., “I felt worthless”) or anxiety (e.g., “I felt fearful”) in the past 7 days</w:t>
      </w:r>
      <w:r w:rsidR="00E83E2B" w:rsidRPr="00BD472F">
        <w:t xml:space="preserve"> rated on a 1 (never) to 5 (always) scale</w:t>
      </w:r>
      <w:r w:rsidR="008D04C8" w:rsidRPr="00BD472F">
        <w:t>.</w:t>
      </w:r>
      <w:r w:rsidR="00043E0D" w:rsidRPr="00BD472F">
        <w:t xml:space="preserve"> The PROMIS Depression and Anxiety scales yield total scores as T-scores (i.e., population mean = 50, standard deviation [</w:t>
      </w:r>
      <w:r w:rsidR="00043E0D" w:rsidRPr="00BD472F">
        <w:rPr>
          <w:i/>
          <w:iCs/>
        </w:rPr>
        <w:t>SD</w:t>
      </w:r>
      <w:r w:rsidR="00043E0D" w:rsidRPr="00BD472F">
        <w:t>] = 10), with scores &gt;55 defined as clinically elevated (</w:t>
      </w:r>
      <w:r w:rsidR="008A6D37" w:rsidRPr="00BD472F">
        <w:t>Cella et al., 2014</w:t>
      </w:r>
      <w:r w:rsidR="00043E0D" w:rsidRPr="00BD472F">
        <w:t>).</w:t>
      </w:r>
      <w:r w:rsidR="009038AC" w:rsidRPr="00BD472F">
        <w:t xml:space="preserve"> Both measures have been shown to correspond closely to legacy measures </w:t>
      </w:r>
      <w:r w:rsidR="00DC24D9" w:rsidRPr="00BD472F">
        <w:t xml:space="preserve">(Choi et al., 2014; </w:t>
      </w:r>
      <w:proofErr w:type="spellStart"/>
      <w:r w:rsidR="00437258" w:rsidRPr="00BD472F">
        <w:t>Schalet</w:t>
      </w:r>
      <w:proofErr w:type="spellEnd"/>
      <w:r w:rsidR="00437258" w:rsidRPr="00BD472F">
        <w:t xml:space="preserve"> et al., 2014</w:t>
      </w:r>
      <w:r w:rsidR="00DC24D9" w:rsidRPr="00BD472F">
        <w:t>).</w:t>
      </w:r>
      <w:r w:rsidR="00437258" w:rsidRPr="00BD472F">
        <w:t xml:space="preserve"> </w:t>
      </w:r>
      <w:r w:rsidR="007877E3" w:rsidRPr="00BD472F">
        <w:t>As participants receive different sets of items based on their responses, internal consistency cannot be calculated.</w:t>
      </w:r>
      <w:r w:rsidR="00043E0D" w:rsidRPr="00BD472F">
        <w:t xml:space="preserve"> </w:t>
      </w:r>
    </w:p>
    <w:p w14:paraId="6C65F226" w14:textId="396E1371" w:rsidR="006471B4" w:rsidRPr="00BD472F" w:rsidRDefault="00043E0D" w:rsidP="00B06978">
      <w:pPr>
        <w:spacing w:line="480" w:lineRule="auto"/>
        <w:ind w:firstLine="720"/>
      </w:pPr>
      <w:r w:rsidRPr="00BD472F">
        <w:t>A</w:t>
      </w:r>
      <w:r w:rsidR="00C21B5B" w:rsidRPr="00BD472F">
        <w:t xml:space="preserve">s preregistered on ClinicalTrials.gov (NCT05229406), a </w:t>
      </w:r>
      <w:r w:rsidRPr="00BD472F">
        <w:t xml:space="preserve">psychological distress composite was </w:t>
      </w:r>
      <w:r w:rsidR="004358DB" w:rsidRPr="00BD472F">
        <w:t>calculated by averag</w:t>
      </w:r>
      <w:r w:rsidR="00E83E2B" w:rsidRPr="00BD472F">
        <w:t>ing</w:t>
      </w:r>
      <w:r w:rsidR="004358DB" w:rsidRPr="00BD472F">
        <w:t xml:space="preserve"> across T-scores from each measure (</w:t>
      </w:r>
      <w:r w:rsidR="004358DB" w:rsidRPr="00BD472F">
        <w:rPr>
          <w:rFonts w:ascii="Symbol" w:hAnsi="Symbol"/>
        </w:rPr>
        <w:t></w:t>
      </w:r>
      <w:r w:rsidR="004358DB" w:rsidRPr="00BD472F">
        <w:t xml:space="preserve"> = .71).</w:t>
      </w:r>
      <w:r w:rsidR="00B06978" w:rsidRPr="00BD472F">
        <w:t xml:space="preserve"> This composite was used based on evidence that depression and anxiety are highly comorbid (Kalin, 2020) and that a single distress factor may underlie many forms of psychopathology (Caspi et al., 2014).</w:t>
      </w:r>
    </w:p>
    <w:p w14:paraId="7300B828" w14:textId="3F38F74C" w:rsidR="00D6288F" w:rsidRPr="00BD472F" w:rsidRDefault="00D6288F" w:rsidP="00F765C7">
      <w:pPr>
        <w:pStyle w:val="Heading4"/>
      </w:pPr>
      <w:r w:rsidRPr="00BD472F">
        <w:t>Ecological Momentary Assessment</w:t>
      </w:r>
      <w:r w:rsidR="008F3FB1" w:rsidRPr="00BD472F">
        <w:t xml:space="preserve"> (EMA)</w:t>
      </w:r>
    </w:p>
    <w:p w14:paraId="34AB7450" w14:textId="2131FB05" w:rsidR="008F3FB1" w:rsidRPr="00BD472F" w:rsidRDefault="008F3FB1" w:rsidP="00D6288F">
      <w:pPr>
        <w:spacing w:line="480" w:lineRule="auto"/>
      </w:pPr>
      <w:r w:rsidRPr="00BD472F">
        <w:rPr>
          <w:b/>
          <w:bCs/>
          <w:i/>
          <w:iCs/>
        </w:rPr>
        <w:tab/>
      </w:r>
      <w:r w:rsidRPr="00BD472F">
        <w:t xml:space="preserve">Participants </w:t>
      </w:r>
      <w:r w:rsidR="000D60B3" w:rsidRPr="00BD472F">
        <w:t>completed separate items assessing momentary depression</w:t>
      </w:r>
      <w:r w:rsidR="009F78DE" w:rsidRPr="00BD472F">
        <w:t xml:space="preserve"> </w:t>
      </w:r>
      <w:r w:rsidR="000D60B3" w:rsidRPr="00BD472F">
        <w:t>and anxiety symptoms</w:t>
      </w:r>
      <w:r w:rsidR="00E83E2B" w:rsidRPr="00BD472F">
        <w:t>. Items were based on</w:t>
      </w:r>
      <w:r w:rsidR="009F78DE" w:rsidRPr="00BD472F">
        <w:t xml:space="preserve"> </w:t>
      </w:r>
      <w:r w:rsidR="00E83E2B" w:rsidRPr="00BD472F">
        <w:t>a</w:t>
      </w:r>
      <w:r w:rsidR="009F78DE" w:rsidRPr="00BD472F">
        <w:t xml:space="preserve"> prior EMA stud</w:t>
      </w:r>
      <w:r w:rsidR="00E83E2B" w:rsidRPr="00BD472F">
        <w:t>y</w:t>
      </w:r>
      <w:r w:rsidR="009F78DE" w:rsidRPr="00BD472F">
        <w:t xml:space="preserve"> (Moore et al., 2016)</w:t>
      </w:r>
      <w:r w:rsidR="00E83E2B" w:rsidRPr="00BD472F">
        <w:t xml:space="preserve"> and</w:t>
      </w:r>
      <w:r w:rsidR="009F78DE" w:rsidRPr="00BD472F">
        <w:t xml:space="preserve"> assessed experiences of depression (“I felt depressed”) and anxiety (“I felt anxious”) in the last 15 minutes</w:t>
      </w:r>
      <w:r w:rsidR="008F0058" w:rsidRPr="00BD472F">
        <w:t>,</w:t>
      </w:r>
      <w:r w:rsidR="00E83E2B" w:rsidRPr="00BD472F">
        <w:t xml:space="preserve"> rated on a 1 (not at all) to 7 (very much) scale</w:t>
      </w:r>
      <w:r w:rsidR="009F78DE" w:rsidRPr="00BD472F">
        <w:t>.</w:t>
      </w:r>
      <w:r w:rsidR="00E83E2B" w:rsidRPr="00BD472F">
        <w:t xml:space="preserve"> As preregistered on ClinicalTrials.gov (NCT05229406), an EMA distress composite was calculated by averaging across the two items at each assessment time point (</w:t>
      </w:r>
      <w:r w:rsidR="00E83E2B" w:rsidRPr="00BD472F">
        <w:rPr>
          <w:rFonts w:ascii="Symbol" w:hAnsi="Symbol"/>
        </w:rPr>
        <w:t></w:t>
      </w:r>
      <w:r w:rsidR="00E83E2B" w:rsidRPr="00BD472F">
        <w:t xml:space="preserve"> = .72).</w:t>
      </w:r>
    </w:p>
    <w:p w14:paraId="32B771E8" w14:textId="2C56E5F7" w:rsidR="006471B4" w:rsidRPr="00BD472F" w:rsidRDefault="006471B4" w:rsidP="00F765C7">
      <w:pPr>
        <w:pStyle w:val="Heading4"/>
      </w:pPr>
      <w:r w:rsidRPr="00BD472F">
        <w:lastRenderedPageBreak/>
        <w:t>Demographics</w:t>
      </w:r>
    </w:p>
    <w:p w14:paraId="334500A3" w14:textId="238D64A2" w:rsidR="006471B4" w:rsidRPr="00BD472F" w:rsidRDefault="006471B4" w:rsidP="00D6288F">
      <w:pPr>
        <w:spacing w:line="480" w:lineRule="auto"/>
      </w:pPr>
      <w:r w:rsidRPr="00BD472F">
        <w:rPr>
          <w:b/>
          <w:bCs/>
          <w:i/>
          <w:iCs/>
        </w:rPr>
        <w:tab/>
      </w:r>
      <w:r w:rsidRPr="00BD472F">
        <w:t>Participants completed a questionnaire assessing demographics</w:t>
      </w:r>
      <w:r w:rsidR="00384AF0" w:rsidRPr="00BD472F">
        <w:t xml:space="preserve"> (age, gender, race/ethnicity, education)</w:t>
      </w:r>
      <w:r w:rsidRPr="00BD472F">
        <w:t xml:space="preserve"> </w:t>
      </w:r>
      <w:r w:rsidR="002C2EB6" w:rsidRPr="00BD472F">
        <w:t>during the pre-treatment battery.</w:t>
      </w:r>
    </w:p>
    <w:p w14:paraId="3786ED26" w14:textId="2A00585E" w:rsidR="0061514C" w:rsidRPr="00BD472F" w:rsidRDefault="0061514C" w:rsidP="00F765C7">
      <w:pPr>
        <w:pStyle w:val="Heading4"/>
      </w:pPr>
      <w:r w:rsidRPr="00BD472F">
        <w:t>Adverse Experiences and Serious Adverse Events</w:t>
      </w:r>
    </w:p>
    <w:p w14:paraId="56622A34" w14:textId="564B988B" w:rsidR="0061514C" w:rsidRPr="00BD472F" w:rsidRDefault="0061514C" w:rsidP="00D6288F">
      <w:pPr>
        <w:spacing w:line="480" w:lineRule="auto"/>
      </w:pPr>
      <w:r w:rsidRPr="00BD472F">
        <w:rPr>
          <w:b/>
          <w:bCs/>
          <w:i/>
          <w:iCs/>
        </w:rPr>
        <w:tab/>
      </w:r>
      <w:r w:rsidRPr="00BD472F">
        <w:t xml:space="preserve">Adverse experiences were assessed using </w:t>
      </w:r>
      <w:r w:rsidR="009C7816" w:rsidRPr="00BD472F">
        <w:t xml:space="preserve">an item from </w:t>
      </w:r>
      <w:r w:rsidR="00DA71DA" w:rsidRPr="00BD472F">
        <w:t>Britton et al. (2018) assess</w:t>
      </w:r>
      <w:r w:rsidR="001509FD" w:rsidRPr="00BD472F">
        <w:t>ing the</w:t>
      </w:r>
      <w:r w:rsidR="00DA71DA" w:rsidRPr="00BD472F">
        <w:t xml:space="preserve"> occurrence of any adverse experience (“I had challenging, difficult, or distressing experiences as a result of my meditation during this study”</w:t>
      </w:r>
      <w:r w:rsidR="001509FD" w:rsidRPr="00BD472F">
        <w:t>)</w:t>
      </w:r>
      <w:r w:rsidR="00DA71DA" w:rsidRPr="00BD472F">
        <w:t xml:space="preserve"> with response options</w:t>
      </w:r>
      <w:r w:rsidR="001509FD" w:rsidRPr="00BD472F">
        <w:t xml:space="preserve"> including “never,” “rarely,” “occasionally,” “regularly,” or “frequently.” Serious adverse events were recorded by the study team.</w:t>
      </w:r>
    </w:p>
    <w:p w14:paraId="1FEB5D27" w14:textId="21C06B35" w:rsidR="00EC7DB6" w:rsidRPr="00BD472F" w:rsidRDefault="00EC7DB6" w:rsidP="00F765C7">
      <w:pPr>
        <w:pStyle w:val="Heading4"/>
      </w:pPr>
      <w:r w:rsidRPr="00BD472F">
        <w:t>Qualitative Interview Protocol</w:t>
      </w:r>
    </w:p>
    <w:p w14:paraId="30A5E809" w14:textId="08562E01" w:rsidR="00EC7DB6" w:rsidRPr="00BD472F" w:rsidRDefault="00EC7DB6" w:rsidP="00AE2D3C">
      <w:pPr>
        <w:spacing w:line="480" w:lineRule="auto"/>
        <w:ind w:firstLine="720"/>
        <w:rPr>
          <w:rFonts w:eastAsia="Times New Roman"/>
          <w:color w:val="000000" w:themeColor="text1"/>
        </w:rPr>
      </w:pPr>
      <w:r w:rsidRPr="00BD472F">
        <w:rPr>
          <w:rFonts w:eastAsia="Times New Roman"/>
          <w:color w:val="000000" w:themeColor="text1"/>
        </w:rPr>
        <w:t>The nine-question semi-structured interview protocol inquired about participants’ experiences with their medi</w:t>
      </w:r>
      <w:r w:rsidR="00A87E90" w:rsidRPr="00BD472F">
        <w:rPr>
          <w:rFonts w:eastAsia="Times New Roman"/>
          <w:color w:val="000000" w:themeColor="text1"/>
        </w:rPr>
        <w:t>t</w:t>
      </w:r>
      <w:r w:rsidRPr="00BD472F">
        <w:rPr>
          <w:rFonts w:eastAsia="Times New Roman"/>
          <w:color w:val="000000" w:themeColor="text1"/>
        </w:rPr>
        <w:t>ation practice, as well as study procedures. The interviewer also used option</w:t>
      </w:r>
      <w:r w:rsidR="00B26494" w:rsidRPr="00BD472F">
        <w:rPr>
          <w:rFonts w:eastAsia="Times New Roman"/>
          <w:color w:val="000000" w:themeColor="text1"/>
        </w:rPr>
        <w:t>al</w:t>
      </w:r>
      <w:r w:rsidRPr="00BD472F">
        <w:rPr>
          <w:rFonts w:eastAsia="Times New Roman"/>
          <w:color w:val="000000" w:themeColor="text1"/>
        </w:rPr>
        <w:t xml:space="preserve"> probing questions to inquire about additional details following participants’ responses. Participant responses about informal practice (</w:t>
      </w:r>
      <w:r w:rsidR="00D85B09">
        <w:rPr>
          <w:rFonts w:eastAsia="Times New Roman"/>
          <w:color w:val="000000" w:themeColor="text1"/>
        </w:rPr>
        <w:t>Xie et al., 2024</w:t>
      </w:r>
      <w:r w:rsidRPr="00BD472F">
        <w:rPr>
          <w:rFonts w:eastAsia="Times New Roman"/>
          <w:color w:val="000000" w:themeColor="text1"/>
        </w:rPr>
        <w:t>) and participants’ use of the HMP app (</w:t>
      </w:r>
      <w:r w:rsidR="00D85B09">
        <w:rPr>
          <w:rFonts w:eastAsia="Times New Roman"/>
          <w:color w:val="000000" w:themeColor="text1"/>
        </w:rPr>
        <w:t xml:space="preserve">Dyer et al., </w:t>
      </w:r>
      <w:r w:rsidR="00377796">
        <w:rPr>
          <w:rFonts w:eastAsia="Times New Roman"/>
          <w:color w:val="000000" w:themeColor="text1"/>
        </w:rPr>
        <w:t>2026</w:t>
      </w:r>
      <w:r w:rsidRPr="00BD472F">
        <w:rPr>
          <w:rFonts w:eastAsia="Times New Roman"/>
          <w:color w:val="000000" w:themeColor="text1"/>
        </w:rPr>
        <w:t>) are reported elsewhere and are not included in the current study</w:t>
      </w:r>
      <w:r w:rsidR="00B26494" w:rsidRPr="00BD472F">
        <w:rPr>
          <w:rFonts w:eastAsia="Times New Roman"/>
          <w:color w:val="000000" w:themeColor="text1"/>
        </w:rPr>
        <w:t>, which</w:t>
      </w:r>
      <w:r w:rsidRPr="00BD472F">
        <w:rPr>
          <w:rFonts w:eastAsia="Times New Roman"/>
          <w:color w:val="000000" w:themeColor="text1"/>
        </w:rPr>
        <w:t xml:space="preserve"> </w:t>
      </w:r>
      <w:r w:rsidR="006C64A3" w:rsidRPr="00BD472F">
        <w:rPr>
          <w:rFonts w:eastAsia="Times New Roman"/>
          <w:color w:val="000000" w:themeColor="text1"/>
        </w:rPr>
        <w:t>focused on</w:t>
      </w:r>
      <w:r w:rsidRPr="00BD472F">
        <w:rPr>
          <w:rFonts w:eastAsia="Times New Roman"/>
          <w:color w:val="000000" w:themeColor="text1"/>
        </w:rPr>
        <w:t xml:space="preserve"> data relevant to participants’ engagement with study procedures. This was a crucial question given the study was primarily aimed at evaluating the feasibility of study procedures (</w:t>
      </w:r>
      <w:r w:rsidR="00747122" w:rsidRPr="00747122">
        <w:rPr>
          <w:rStyle w:val="Hyperlink"/>
          <w:color w:val="000000" w:themeColor="text1"/>
          <w:u w:val="none"/>
        </w:rPr>
        <w:t>https://osf.io/fszvj/overview</w:t>
      </w:r>
      <w:r w:rsidRPr="00BD472F">
        <w:rPr>
          <w:rFonts w:eastAsia="Times New Roman"/>
          <w:color w:val="000000" w:themeColor="text1"/>
        </w:rPr>
        <w:t>). Initial transcription occurred using the Zoom transcription feature, with subsequent edits for accuracy by</w:t>
      </w:r>
      <w:r w:rsidR="00AE2D3C" w:rsidRPr="00BD472F">
        <w:rPr>
          <w:rFonts w:eastAsia="Times New Roman"/>
          <w:color w:val="000000" w:themeColor="text1"/>
        </w:rPr>
        <w:t xml:space="preserve"> </w:t>
      </w:r>
      <w:r w:rsidR="00E603D2">
        <w:rPr>
          <w:rFonts w:eastAsia="Times New Roman"/>
          <w:color w:val="000000" w:themeColor="text1"/>
        </w:rPr>
        <w:t>KMZ and XZ</w:t>
      </w:r>
      <w:r w:rsidR="00B26494" w:rsidRPr="00BD472F">
        <w:rPr>
          <w:rFonts w:eastAsia="Times New Roman"/>
          <w:color w:val="000000" w:themeColor="text1"/>
        </w:rPr>
        <w:t>.</w:t>
      </w:r>
    </w:p>
    <w:p w14:paraId="02A1FF20" w14:textId="20F6AF7F" w:rsidR="00D6288F" w:rsidRPr="00BD472F" w:rsidRDefault="00D6288F" w:rsidP="00F765C7">
      <w:pPr>
        <w:pStyle w:val="Heading3"/>
      </w:pPr>
      <w:r w:rsidRPr="00BD472F">
        <w:t>Data Analysis</w:t>
      </w:r>
    </w:p>
    <w:p w14:paraId="72D9B576" w14:textId="652678C5" w:rsidR="00E83E2B" w:rsidRPr="00BD472F" w:rsidRDefault="00E83E2B" w:rsidP="00D6288F">
      <w:pPr>
        <w:spacing w:line="480" w:lineRule="auto"/>
      </w:pPr>
      <w:r w:rsidRPr="00BD472F">
        <w:rPr>
          <w:b/>
          <w:bCs/>
        </w:rPr>
        <w:tab/>
      </w:r>
      <w:r w:rsidR="004750D4" w:rsidRPr="00BD472F">
        <w:t>Data and analysis code are available through the Open Science Framework (</w:t>
      </w:r>
      <w:hyperlink r:id="rId11" w:history="1">
        <w:r w:rsidR="004750D4" w:rsidRPr="00BD472F">
          <w:rPr>
            <w:rStyle w:val="Hyperlink"/>
          </w:rPr>
          <w:t>https://osf.io/jh2xv/files/osfstorage?view_only=038c787190284434869ae03d8b74ac9b</w:t>
        </w:r>
      </w:hyperlink>
      <w:r w:rsidR="004750D4" w:rsidRPr="00BD472F">
        <w:t xml:space="preserve">). </w:t>
      </w:r>
      <w:r w:rsidRPr="00BD472F">
        <w:t xml:space="preserve">Our preregistered analytic plan for hypotheses 1 and 2 (feasibility and acceptability) was the use of </w:t>
      </w:r>
      <w:r w:rsidR="00502212" w:rsidRPr="00BD472F">
        <w:rPr>
          <w:rFonts w:ascii="Symbol" w:hAnsi="Symbol"/>
        </w:rPr>
        <w:t>c</w:t>
      </w:r>
      <w:r w:rsidR="00502212" w:rsidRPr="00BD472F">
        <w:rPr>
          <w:vertAlign w:val="superscript"/>
        </w:rPr>
        <w:t>2</w:t>
      </w:r>
      <w:r w:rsidR="00502212" w:rsidRPr="00BD472F">
        <w:t xml:space="preserve"> </w:t>
      </w:r>
      <w:r w:rsidRPr="00BD472F">
        <w:t xml:space="preserve">tests to compare </w:t>
      </w:r>
      <w:r w:rsidR="00606B8F" w:rsidRPr="00BD472F">
        <w:t xml:space="preserve">mean levels </w:t>
      </w:r>
      <w:r w:rsidRPr="00BD472F">
        <w:t xml:space="preserve">of feasibility and acceptability to prespecified benchmarks. For our </w:t>
      </w:r>
      <w:r w:rsidRPr="00BD472F">
        <w:lastRenderedPageBreak/>
        <w:t>third hypothesis (i.e., comparing high and low dosage conditions), we planned to use independent sample t-tests, with variables transformed based on their distributional properties.</w:t>
      </w:r>
    </w:p>
    <w:p w14:paraId="3E6E94D0" w14:textId="4D75C4F4" w:rsidR="00CE297E" w:rsidRPr="00BD472F" w:rsidRDefault="00CE297E" w:rsidP="00D6288F">
      <w:pPr>
        <w:spacing w:line="480" w:lineRule="auto"/>
      </w:pPr>
      <w:r w:rsidRPr="00BD472F">
        <w:tab/>
        <w:t xml:space="preserve">We conducted </w:t>
      </w:r>
      <w:r w:rsidR="00B06A3F" w:rsidRPr="00BD472F">
        <w:t xml:space="preserve">non-preregistered </w:t>
      </w:r>
      <w:r w:rsidRPr="00BD472F">
        <w:t xml:space="preserve">analyses comparing high and low dosage conditions on retrospective self-report and EMA </w:t>
      </w:r>
      <w:r w:rsidR="00D72F93" w:rsidRPr="00BD472F">
        <w:t xml:space="preserve">psychological </w:t>
      </w:r>
      <w:r w:rsidRPr="00BD472F">
        <w:t>distress.</w:t>
      </w:r>
      <w:r w:rsidR="00D72F93" w:rsidRPr="00BD472F">
        <w:t xml:space="preserve"> For retrospective self-report, we used analysis of covariance, predicting post-treatment scores from group while covarying pre-treatment scores.</w:t>
      </w:r>
      <w:r w:rsidR="00792D2F" w:rsidRPr="00BD472F">
        <w:t xml:space="preserve"> Within-group</w:t>
      </w:r>
      <w:r w:rsidR="00606B8F" w:rsidRPr="00BD472F">
        <w:t>, pre-post</w:t>
      </w:r>
      <w:r w:rsidR="00792D2F" w:rsidRPr="00BD472F">
        <w:t xml:space="preserve"> Cohen’s </w:t>
      </w:r>
      <w:r w:rsidR="00792D2F" w:rsidRPr="00BD472F">
        <w:rPr>
          <w:i/>
          <w:iCs/>
        </w:rPr>
        <w:t xml:space="preserve">d </w:t>
      </w:r>
      <w:r w:rsidR="00792D2F" w:rsidRPr="00BD472F">
        <w:t xml:space="preserve">effect sizes were calculated following </w:t>
      </w:r>
      <w:proofErr w:type="spellStart"/>
      <w:r w:rsidR="00792D2F" w:rsidRPr="00BD472F">
        <w:t>Lakens</w:t>
      </w:r>
      <w:proofErr w:type="spellEnd"/>
      <w:r w:rsidR="00792D2F" w:rsidRPr="00BD472F">
        <w:t xml:space="preserve"> (2013).</w:t>
      </w:r>
      <w:r w:rsidR="00D72F93" w:rsidRPr="00BD472F">
        <w:t xml:space="preserve"> For EMA, we </w:t>
      </w:r>
      <w:r w:rsidR="00C51D2B" w:rsidRPr="00BD472F">
        <w:t xml:space="preserve">initially </w:t>
      </w:r>
      <w:r w:rsidR="00D72F93" w:rsidRPr="00BD472F">
        <w:t xml:space="preserve">used </w:t>
      </w:r>
      <w:r w:rsidR="00C51D2B" w:rsidRPr="00BD472F">
        <w:t xml:space="preserve">linear </w:t>
      </w:r>
      <w:r w:rsidR="00D72F93" w:rsidRPr="00BD472F">
        <w:t>multilevel models</w:t>
      </w:r>
      <w:r w:rsidR="004902D2" w:rsidRPr="00BD472F">
        <w:t xml:space="preserve"> implemented in the ‘lme4’ package in R (Bates et al., 2015)</w:t>
      </w:r>
      <w:r w:rsidR="00D72F93" w:rsidRPr="00BD472F">
        <w:t xml:space="preserve"> predicting EMA scores (nested within individuals)</w:t>
      </w:r>
      <w:r w:rsidR="00C51D2B" w:rsidRPr="00BD472F">
        <w:t xml:space="preserve"> from time (a continuous variable reflecting chronological time [i.e., partial days] since randomization) and the interaction between time and group (for </w:t>
      </w:r>
      <w:r w:rsidR="00502212" w:rsidRPr="00BD472F">
        <w:t xml:space="preserve">the </w:t>
      </w:r>
      <w:r w:rsidR="00C51D2B" w:rsidRPr="00BD472F">
        <w:t>between-group test)</w:t>
      </w:r>
      <w:r w:rsidR="00D72F93" w:rsidRPr="00BD472F">
        <w:t>.</w:t>
      </w:r>
      <w:r w:rsidR="00C51D2B" w:rsidRPr="00BD472F">
        <w:t xml:space="preserve"> Both the outcome (EMA psychological distress) and time were z-scored to support model convergence and coefficient interpretation.</w:t>
      </w:r>
      <w:r w:rsidR="00D72F93" w:rsidRPr="00BD472F">
        <w:t xml:space="preserve"> </w:t>
      </w:r>
      <w:r w:rsidR="004902D2" w:rsidRPr="00BD472F">
        <w:t>However, review of descriptive data (Figure 1) suggested that a linear trend may not accurately capture the shape of change</w:t>
      </w:r>
      <w:r w:rsidR="00502212" w:rsidRPr="00BD472F">
        <w:t>,</w:t>
      </w:r>
      <w:r w:rsidR="00C51D2B" w:rsidRPr="00BD472F">
        <w:t xml:space="preserve"> particularly</w:t>
      </w:r>
      <w:r w:rsidR="00546174" w:rsidRPr="00BD472F">
        <w:t xml:space="preserve"> for the high dosage group</w:t>
      </w:r>
      <w:r w:rsidR="004902D2" w:rsidRPr="00BD472F">
        <w:t xml:space="preserve">. </w:t>
      </w:r>
      <w:r w:rsidR="00747AB1" w:rsidRPr="00BD472F">
        <w:t xml:space="preserve">Logistic regression was used to compare </w:t>
      </w:r>
      <w:r w:rsidR="00695A8B" w:rsidRPr="00BD472F">
        <w:t xml:space="preserve">the groups on </w:t>
      </w:r>
      <w:r w:rsidR="00747AB1" w:rsidRPr="00BD472F">
        <w:t xml:space="preserve">the occurrence of </w:t>
      </w:r>
      <w:r w:rsidR="00695A8B" w:rsidRPr="00BD472F">
        <w:t>adverse experiences.</w:t>
      </w:r>
    </w:p>
    <w:p w14:paraId="2221858E" w14:textId="06DC9E4F" w:rsidR="00233AA4" w:rsidRPr="00BD472F" w:rsidRDefault="00233AA4" w:rsidP="004B6460">
      <w:pPr>
        <w:spacing w:line="480" w:lineRule="auto"/>
        <w:ind w:firstLine="720"/>
      </w:pPr>
      <w:r w:rsidRPr="00BD472F">
        <w:t>To compare the groups' distress trajectories without assuming linearity, we fit a Bayesian generalized additive mixed model</w:t>
      </w:r>
      <w:r w:rsidR="00695DBD" w:rsidRPr="00BD472F">
        <w:t xml:space="preserve"> (GAMM)</w:t>
      </w:r>
      <w:r w:rsidRPr="00BD472F">
        <w:t xml:space="preserve"> using the </w:t>
      </w:r>
      <w:r w:rsidR="00B06A3F" w:rsidRPr="00BD472F">
        <w:t>‘</w:t>
      </w:r>
      <w:r w:rsidRPr="00BD472F">
        <w:t>brms</w:t>
      </w:r>
      <w:r w:rsidR="00B06A3F" w:rsidRPr="00BD472F">
        <w:t>’</w:t>
      </w:r>
      <w:r w:rsidRPr="00BD472F">
        <w:t xml:space="preserve"> package (Bürkner, 2017) in R. Momentary distress was modeled with a parametric group effect and group-specific thin-plate splines of study day, allowing each group its own nonlinear trajectory. The smoothness of each spline was estimated from the data through penalization rather than fixed in advance, and the model included participant-specific random intercepts and slopes for study day. All parameters converged (</w:t>
      </w:r>
      <w:r w:rsidR="00DF14CE" w:rsidRPr="00BD472F">
        <w:rPr>
          <w:rFonts w:eastAsia="Times New Roman"/>
        </w:rPr>
        <w:t>R̂</w:t>
      </w:r>
      <w:r w:rsidR="00DF14CE" w:rsidRPr="00BD472F">
        <w:t xml:space="preserve"> </w:t>
      </w:r>
      <w:r w:rsidRPr="00BD472F">
        <w:t>= 1.00). We confirmed that group-specific trajectories improved fit over a common linear trend using leave-one-out cross-validation (</w:t>
      </w:r>
      <w:proofErr w:type="spellStart"/>
      <w:r w:rsidRPr="00BD472F">
        <w:t>Vehtari</w:t>
      </w:r>
      <w:proofErr w:type="spellEnd"/>
      <w:r w:rsidRPr="00BD472F">
        <w:t xml:space="preserve"> et al., 2017). To locate where the groups differed, we computed the posterior difference between the fitted trajectories at each day, </w:t>
      </w:r>
      <w:r w:rsidRPr="00BD472F">
        <w:lastRenderedPageBreak/>
        <w:t>marginalizing over random effects, and identified the interval where its pointwise 95% credible interval excluded zero; this window was not corrected for simultaneous coverage.</w:t>
      </w:r>
    </w:p>
    <w:p w14:paraId="340A8F63" w14:textId="0DCDE3BC" w:rsidR="00A35134" w:rsidRPr="00BD472F" w:rsidRDefault="00A35134" w:rsidP="00AE2D3C">
      <w:pPr>
        <w:spacing w:line="480" w:lineRule="auto"/>
        <w:ind w:firstLine="720"/>
        <w:rPr>
          <w:rFonts w:eastAsia="Times New Roman"/>
          <w:color w:val="000000" w:themeColor="text1"/>
        </w:rPr>
      </w:pPr>
      <w:r w:rsidRPr="00BD472F">
        <w:t>Qualitative data were analyzed using</w:t>
      </w:r>
      <w:r w:rsidR="00B26494" w:rsidRPr="00BD472F">
        <w:t xml:space="preserve"> deductive qualitative content analysis (</w:t>
      </w:r>
      <w:r w:rsidR="00B26494" w:rsidRPr="00BD472F">
        <w:rPr>
          <w:rFonts w:eastAsia="Times New Roman"/>
          <w:color w:val="000000" w:themeColor="text1"/>
        </w:rPr>
        <w:t>Elo &amp; Kyngäs, 2008)</w:t>
      </w:r>
      <w:r w:rsidR="00EE05CD" w:rsidRPr="00BD472F">
        <w:rPr>
          <w:rFonts w:eastAsia="Times New Roman"/>
          <w:color w:val="000000" w:themeColor="text1"/>
        </w:rPr>
        <w:t xml:space="preserve"> using the Consolidated Framework for Implementation Research (</w:t>
      </w:r>
      <w:r w:rsidR="00715FC5" w:rsidRPr="00BD472F">
        <w:rPr>
          <w:rFonts w:eastAsia="Times New Roman"/>
          <w:color w:val="000000" w:themeColor="text1"/>
        </w:rPr>
        <w:t xml:space="preserve">CFIR; </w:t>
      </w:r>
      <w:r w:rsidR="00EE05CD" w:rsidRPr="00BD472F">
        <w:rPr>
          <w:rFonts w:eastAsia="Times New Roman"/>
          <w:color w:val="000000" w:themeColor="text1"/>
        </w:rPr>
        <w:t>Damschroder et al., 2022) as our structured categorization matrix to guide coding (Elo &amp; Kyngäs, 2008)</w:t>
      </w:r>
      <w:r w:rsidR="00B26494" w:rsidRPr="00BD472F">
        <w:rPr>
          <w:rFonts w:eastAsia="Times New Roman"/>
          <w:color w:val="000000" w:themeColor="text1"/>
        </w:rPr>
        <w:t>.</w:t>
      </w:r>
      <w:r w:rsidR="00B26494" w:rsidRPr="00BD472F">
        <w:t xml:space="preserve"> </w:t>
      </w:r>
      <w:r w:rsidR="00981F11" w:rsidRPr="00BD472F">
        <w:rPr>
          <w:rFonts w:eastAsia="Times New Roman"/>
          <w:color w:val="000000" w:themeColor="text1"/>
        </w:rPr>
        <w:t>We selected CFIR for its wide utilization in implementation research, including for studying digital meditation training (Muñoz Bohorquez et al., 2023).</w:t>
      </w:r>
      <w:r w:rsidR="00981F11" w:rsidRPr="00BD472F">
        <w:t xml:space="preserve"> </w:t>
      </w:r>
      <w:r w:rsidR="00B26494" w:rsidRPr="00BD472F">
        <w:rPr>
          <w:rFonts w:eastAsia="Times New Roman"/>
          <w:color w:val="000000" w:themeColor="text1"/>
        </w:rPr>
        <w:t xml:space="preserve">In support of investigator triangulation (i.e., involving several researchers in analysis to combat bias), </w:t>
      </w:r>
      <w:r w:rsidR="00E603D2">
        <w:rPr>
          <w:rFonts w:eastAsia="Times New Roman"/>
          <w:color w:val="000000" w:themeColor="text1"/>
        </w:rPr>
        <w:t>KMZ and XZ</w:t>
      </w:r>
      <w:r w:rsidR="00B26494" w:rsidRPr="00BD472F">
        <w:rPr>
          <w:rFonts w:eastAsia="Times New Roman"/>
          <w:color w:val="000000" w:themeColor="text1"/>
        </w:rPr>
        <w:t xml:space="preserve"> </w:t>
      </w:r>
      <w:r w:rsidR="00EE05CD" w:rsidRPr="00BD472F">
        <w:rPr>
          <w:rFonts w:eastAsia="Times New Roman"/>
          <w:color w:val="000000" w:themeColor="text1"/>
        </w:rPr>
        <w:t xml:space="preserve">independently </w:t>
      </w:r>
      <w:r w:rsidR="00B26494" w:rsidRPr="00BD472F">
        <w:rPr>
          <w:rFonts w:eastAsia="Times New Roman"/>
          <w:color w:val="000000" w:themeColor="text1"/>
        </w:rPr>
        <w:t xml:space="preserve">coded the data under the supervision of </w:t>
      </w:r>
      <w:r w:rsidR="00E603D2">
        <w:rPr>
          <w:rFonts w:eastAsia="Times New Roman"/>
          <w:color w:val="000000" w:themeColor="text1"/>
        </w:rPr>
        <w:t>RLD</w:t>
      </w:r>
      <w:r w:rsidR="006C64A3" w:rsidRPr="00BD472F">
        <w:rPr>
          <w:rFonts w:eastAsia="Times New Roman"/>
          <w:color w:val="000000" w:themeColor="text1"/>
        </w:rPr>
        <w:t xml:space="preserve"> </w:t>
      </w:r>
      <w:r w:rsidR="00B26494" w:rsidRPr="00BD472F">
        <w:rPr>
          <w:rFonts w:eastAsia="Times New Roman"/>
          <w:color w:val="000000" w:themeColor="text1"/>
        </w:rPr>
        <w:t>(Fusch et al., 2018). As coding progressed, an audit trail was maintained through applying updates to the categorization matrix. To build credibility (Lincoln &amp; Guba, 1986), this updated categorization matrix was then re-applied to the data and further adjusted.</w:t>
      </w:r>
    </w:p>
    <w:p w14:paraId="25B71AAF" w14:textId="5E768C9C" w:rsidR="00ED0E30" w:rsidRPr="00BD472F" w:rsidRDefault="00ED0E30" w:rsidP="00F765C7">
      <w:pPr>
        <w:pStyle w:val="Heading3"/>
      </w:pPr>
      <w:r w:rsidRPr="00BD472F">
        <w:t>Missing Data</w:t>
      </w:r>
    </w:p>
    <w:p w14:paraId="7F0D11F6" w14:textId="7A05E5E0" w:rsidR="00ED0E30" w:rsidRPr="00BD472F" w:rsidRDefault="00ED0E30" w:rsidP="00D6288F">
      <w:pPr>
        <w:spacing w:line="480" w:lineRule="auto"/>
      </w:pPr>
      <w:r w:rsidRPr="00BD472F">
        <w:rPr>
          <w:i/>
          <w:iCs/>
        </w:rPr>
        <w:tab/>
      </w:r>
      <w:r w:rsidRPr="00BD472F">
        <w:t xml:space="preserve">Most study outcomes (completion of study procedures, use of HMP) </w:t>
      </w:r>
      <w:r w:rsidR="00981F11" w:rsidRPr="00BD472F">
        <w:t xml:space="preserve">were </w:t>
      </w:r>
      <w:r w:rsidRPr="00BD472F">
        <w:t xml:space="preserve">assessed objectively and had no missing data (i.e., data were available regardless of participants’ completion of study measures). </w:t>
      </w:r>
      <w:r w:rsidR="00F71A89" w:rsidRPr="00BD472F">
        <w:t xml:space="preserve">At post-treatment, 3.3% of data </w:t>
      </w:r>
      <w:r w:rsidRPr="00BD472F">
        <w:t>were missing, which is below the threshold typically considered ignorable from a missing data perspective (</w:t>
      </w:r>
      <w:r w:rsidR="00F71A89" w:rsidRPr="00BD472F">
        <w:t xml:space="preserve">i.e., 5%; </w:t>
      </w:r>
      <w:r w:rsidRPr="00BD472F">
        <w:t>Graham, 2009). Thus, complete case analysis was used for pre- and post-treatment measures. Maximum likelihood estimation, which is robust to data missing at random (Graham, 2009), was used for analyzing EMA data, of which &gt;5% were missing (see Results).</w:t>
      </w:r>
    </w:p>
    <w:p w14:paraId="71673974" w14:textId="788FD6D7" w:rsidR="00D6288F" w:rsidRPr="00BD472F" w:rsidRDefault="00D6288F" w:rsidP="00F765C7">
      <w:pPr>
        <w:pStyle w:val="Heading2"/>
      </w:pPr>
      <w:r w:rsidRPr="00BD472F">
        <w:lastRenderedPageBreak/>
        <w:t>Results</w:t>
      </w:r>
    </w:p>
    <w:p w14:paraId="508BDB37" w14:textId="0CA70D67" w:rsidR="00AA763E" w:rsidRPr="00BD472F" w:rsidRDefault="00AA763E" w:rsidP="00F765C7">
      <w:pPr>
        <w:pStyle w:val="Heading3"/>
      </w:pPr>
      <w:r w:rsidRPr="00BD472F">
        <w:t>Descriptive Statistics</w:t>
      </w:r>
    </w:p>
    <w:p w14:paraId="27A01058" w14:textId="5196CBB3" w:rsidR="00AA763E" w:rsidRPr="00BD472F" w:rsidRDefault="00AA763E" w:rsidP="00D6288F">
      <w:pPr>
        <w:spacing w:line="480" w:lineRule="auto"/>
      </w:pPr>
      <w:r w:rsidRPr="00BD472F">
        <w:rPr>
          <w:b/>
          <w:bCs/>
        </w:rPr>
        <w:tab/>
      </w:r>
      <w:r w:rsidR="0063683D" w:rsidRPr="00BD472F">
        <w:t>The sample was predominantly non-Latinx White (60.</w:t>
      </w:r>
      <w:r w:rsidR="00794ACD" w:rsidRPr="00BD472F">
        <w:t>9</w:t>
      </w:r>
      <w:r w:rsidR="0063683D" w:rsidRPr="00BD472F">
        <w:t>%), with 19.6% identifying as Asian, 8.7% as Latinx White, 4.3% as multiracial, 3.3% as Black, 2.2% as American Indian</w:t>
      </w:r>
      <w:r w:rsidR="00675003" w:rsidRPr="00BD472F">
        <w:t xml:space="preserve"> / Alaskan Native</w:t>
      </w:r>
      <w:r w:rsidR="0063683D" w:rsidRPr="00BD472F">
        <w:t>, and 1.1% as unknown race/ethnicity. The sample was predominant</w:t>
      </w:r>
      <w:r w:rsidR="00780C1F" w:rsidRPr="00BD472F">
        <w:t>ly</w:t>
      </w:r>
      <w:r w:rsidR="0063683D" w:rsidRPr="00BD472F">
        <w:t xml:space="preserve"> women (81.5%), with 14.1% identifying as men, and 4.3% as another gender.</w:t>
      </w:r>
      <w:r w:rsidR="00E654DF" w:rsidRPr="00BD472F">
        <w:t xml:space="preserve"> The average age was 31.28 years (</w:t>
      </w:r>
      <w:r w:rsidR="00E654DF" w:rsidRPr="00BD472F">
        <w:rPr>
          <w:i/>
          <w:iCs/>
        </w:rPr>
        <w:t>SD</w:t>
      </w:r>
      <w:r w:rsidR="00E654DF" w:rsidRPr="00BD472F">
        <w:t xml:space="preserve"> = 13.12).</w:t>
      </w:r>
      <w:r w:rsidR="00020114" w:rsidRPr="00BD472F">
        <w:t xml:space="preserve"> Participants reported completing professional / graduate degrees </w:t>
      </w:r>
      <w:r w:rsidR="00675003" w:rsidRPr="00BD472F">
        <w:t xml:space="preserve">(43.5%), four-year college degrees (31.5%), one to three years of college (22.8%), or high school (2.2%). Average PROMIS scores at </w:t>
      </w:r>
      <w:r w:rsidR="00344312" w:rsidRPr="00BD472F">
        <w:t>screening</w:t>
      </w:r>
      <w:r w:rsidR="00675003" w:rsidRPr="00BD472F">
        <w:t xml:space="preserve"> were 60.60 (</w:t>
      </w:r>
      <w:r w:rsidR="00675003" w:rsidRPr="00BD472F">
        <w:rPr>
          <w:i/>
          <w:iCs/>
        </w:rPr>
        <w:t>SD</w:t>
      </w:r>
      <w:r w:rsidR="00675003" w:rsidRPr="00BD472F">
        <w:t xml:space="preserve"> = 5.26) for depression and 64.82 (</w:t>
      </w:r>
      <w:r w:rsidR="00675003" w:rsidRPr="00BD472F">
        <w:rPr>
          <w:i/>
          <w:iCs/>
        </w:rPr>
        <w:t>SD</w:t>
      </w:r>
      <w:r w:rsidR="00675003" w:rsidRPr="00BD472F">
        <w:t xml:space="preserve"> = 5.34) for anxiety.</w:t>
      </w:r>
      <w:r w:rsidR="000D6839" w:rsidRPr="00BD472F">
        <w:t xml:space="preserve"> </w:t>
      </w:r>
      <w:r w:rsidR="003B0D93" w:rsidRPr="00BD472F">
        <w:t>For participant</w:t>
      </w:r>
      <w:r w:rsidR="000D6839" w:rsidRPr="00BD472F">
        <w:t xml:space="preserve"> flow</w:t>
      </w:r>
      <w:r w:rsidR="003B0D93" w:rsidRPr="00BD472F">
        <w:t>, see</w:t>
      </w:r>
      <w:r w:rsidR="000D6839" w:rsidRPr="00BD472F">
        <w:t xml:space="preserve"> Supplemental Materials Figure 1.</w:t>
      </w:r>
    </w:p>
    <w:p w14:paraId="4888D27E" w14:textId="0483D4EB" w:rsidR="00D6288F" w:rsidRPr="00BD472F" w:rsidRDefault="00D6288F" w:rsidP="00F765C7">
      <w:pPr>
        <w:pStyle w:val="Heading3"/>
      </w:pPr>
      <w:r w:rsidRPr="00BD472F">
        <w:t>Primary Analyses</w:t>
      </w:r>
    </w:p>
    <w:p w14:paraId="29913AAE" w14:textId="753E9675" w:rsidR="00D6288F" w:rsidRPr="00BD472F" w:rsidRDefault="00D6288F" w:rsidP="00F765C7">
      <w:pPr>
        <w:pStyle w:val="Heading4"/>
      </w:pPr>
      <w:r w:rsidRPr="00BD472F">
        <w:t>Feasibility</w:t>
      </w:r>
    </w:p>
    <w:p w14:paraId="4DCC233A" w14:textId="29AB9151" w:rsidR="00B560B5" w:rsidRPr="00BD472F" w:rsidRDefault="00B560B5" w:rsidP="00D6288F">
      <w:pPr>
        <w:spacing w:line="480" w:lineRule="auto"/>
      </w:pPr>
      <w:r w:rsidRPr="00BD472F">
        <w:rPr>
          <w:b/>
          <w:bCs/>
          <w:i/>
          <w:iCs/>
        </w:rPr>
        <w:tab/>
      </w:r>
      <w:r w:rsidRPr="00BD472F">
        <w:t>All randomized participants completed ≥1 EMA assessment and ≥1 activity on the HMP app.</w:t>
      </w:r>
      <w:r w:rsidR="00BE111E" w:rsidRPr="00BD472F">
        <w:t xml:space="preserve"> In one-sample tests of proportions, this completion rate was above the preregistered rate of 90% (</w:t>
      </w:r>
      <w:r w:rsidR="00BE111E" w:rsidRPr="00BD472F">
        <w:rPr>
          <w:rFonts w:ascii="Symbol" w:hAnsi="Symbol"/>
        </w:rPr>
        <w:t></w:t>
      </w:r>
      <w:r w:rsidR="006E47DB" w:rsidRPr="00BD472F">
        <w:rPr>
          <w:rFonts w:ascii="Symbol" w:hAnsi="Symbol"/>
          <w:vertAlign w:val="superscript"/>
        </w:rPr>
        <w:t></w:t>
      </w:r>
      <w:r w:rsidR="00BE111E" w:rsidRPr="00BD472F">
        <w:t xml:space="preserve">[1] = 9.14, </w:t>
      </w:r>
      <w:r w:rsidR="00BE111E" w:rsidRPr="00BD472F">
        <w:rPr>
          <w:i/>
          <w:iCs/>
        </w:rPr>
        <w:t xml:space="preserve">p </w:t>
      </w:r>
      <w:r w:rsidR="00BE111E" w:rsidRPr="00BD472F">
        <w:t>= .002).</w:t>
      </w:r>
      <w:r w:rsidR="00E25EC0" w:rsidRPr="00BD472F">
        <w:t xml:space="preserve"> A minority of participants (41.3%, 38 out of 92) adhered to their assigned dosage level o</w:t>
      </w:r>
      <w:r w:rsidR="00502212" w:rsidRPr="00BD472F">
        <w:t>n</w:t>
      </w:r>
      <w:r w:rsidR="00E25EC0" w:rsidRPr="00BD472F">
        <w:t xml:space="preserve"> ≥50% of days, which was lower than the preregistered rate of 70%.</w:t>
      </w:r>
      <w:r w:rsidR="008D1BBE" w:rsidRPr="00BD472F">
        <w:t xml:space="preserve"> Of the 10,304 EMAs delivered, participants completed 80.7% (8,311), which was higher than the preregistered rate of 70% (</w:t>
      </w:r>
      <w:r w:rsidR="008D1BBE" w:rsidRPr="00BD472F">
        <w:rPr>
          <w:rFonts w:ascii="Symbol" w:hAnsi="Symbol"/>
        </w:rPr>
        <w:t></w:t>
      </w:r>
      <w:r w:rsidR="006E47DB" w:rsidRPr="00BD472F">
        <w:rPr>
          <w:rFonts w:ascii="Symbol" w:hAnsi="Symbol"/>
          <w:vertAlign w:val="superscript"/>
        </w:rPr>
        <w:t></w:t>
      </w:r>
      <w:r w:rsidR="008D1BBE" w:rsidRPr="00BD472F">
        <w:t xml:space="preserve">[1] = 556.86, </w:t>
      </w:r>
      <w:r w:rsidR="008D1BBE" w:rsidRPr="00BD472F">
        <w:rPr>
          <w:i/>
          <w:iCs/>
        </w:rPr>
        <w:t xml:space="preserve">p </w:t>
      </w:r>
      <w:r w:rsidR="008D1BBE" w:rsidRPr="00BD472F">
        <w:t>&lt; .001).</w:t>
      </w:r>
      <w:r w:rsidR="00557BBE" w:rsidRPr="00BD472F">
        <w:t xml:space="preserve"> All but three participants (96.7%, 89 out of 92) completed post-treatment assessments, which was higher than the preregistered rate of 75% (</w:t>
      </w:r>
      <w:r w:rsidR="00557BBE" w:rsidRPr="00BD472F">
        <w:rPr>
          <w:rFonts w:ascii="Symbol" w:hAnsi="Symbol"/>
        </w:rPr>
        <w:t></w:t>
      </w:r>
      <w:r w:rsidR="006E47DB" w:rsidRPr="00BD472F">
        <w:rPr>
          <w:rFonts w:ascii="Symbol" w:hAnsi="Symbol"/>
          <w:vertAlign w:val="superscript"/>
        </w:rPr>
        <w:t></w:t>
      </w:r>
      <w:r w:rsidR="00557BBE" w:rsidRPr="00BD472F">
        <w:t xml:space="preserve">[1] = 22.04, </w:t>
      </w:r>
      <w:r w:rsidR="00557BBE" w:rsidRPr="00BD472F">
        <w:rPr>
          <w:i/>
          <w:iCs/>
        </w:rPr>
        <w:t xml:space="preserve">p </w:t>
      </w:r>
      <w:r w:rsidR="00557BBE" w:rsidRPr="00BD472F">
        <w:t>&lt; .001).</w:t>
      </w:r>
    </w:p>
    <w:p w14:paraId="2AAA3B6B" w14:textId="7469BAE6" w:rsidR="00D6288F" w:rsidRPr="00BD472F" w:rsidRDefault="00D6288F" w:rsidP="00F765C7">
      <w:pPr>
        <w:pStyle w:val="Heading4"/>
      </w:pPr>
      <w:r w:rsidRPr="00BD472F">
        <w:t>Acceptability</w:t>
      </w:r>
    </w:p>
    <w:p w14:paraId="5767BB6A" w14:textId="047B656B" w:rsidR="0091765D" w:rsidRPr="00BD472F" w:rsidRDefault="0091765D" w:rsidP="00D6288F">
      <w:pPr>
        <w:spacing w:line="480" w:lineRule="auto"/>
      </w:pPr>
      <w:r w:rsidRPr="00BD472F">
        <w:rPr>
          <w:b/>
          <w:bCs/>
          <w:i/>
          <w:iCs/>
        </w:rPr>
        <w:tab/>
      </w:r>
      <w:r w:rsidRPr="00BD472F">
        <w:t>The proportion of participants who completed a practice on ≥50% of days was 63.0%</w:t>
      </w:r>
      <w:r w:rsidR="00873178" w:rsidRPr="00BD472F">
        <w:t>, which was lower than our preregistered rate of 70%</w:t>
      </w:r>
      <w:r w:rsidRPr="00BD472F">
        <w:t xml:space="preserve">. </w:t>
      </w:r>
      <w:r w:rsidR="0082674C" w:rsidRPr="00BD472F">
        <w:t>Average usability rating (MSUS) at post-</w:t>
      </w:r>
      <w:r w:rsidR="0082674C" w:rsidRPr="00BD472F">
        <w:lastRenderedPageBreak/>
        <w:t>treatment was 84.11</w:t>
      </w:r>
      <w:r w:rsidR="003B0D93" w:rsidRPr="00BD472F">
        <w:t xml:space="preserve"> (</w:t>
      </w:r>
      <w:r w:rsidR="003B0D93" w:rsidRPr="00BD472F">
        <w:rPr>
          <w:i/>
          <w:iCs/>
        </w:rPr>
        <w:t>SD</w:t>
      </w:r>
      <w:r w:rsidR="003B0D93" w:rsidRPr="00BD472F">
        <w:t xml:space="preserve"> = 12.57)</w:t>
      </w:r>
      <w:r w:rsidR="0082674C" w:rsidRPr="00BD472F">
        <w:t>, which was higher than the preregistered score of 70 (</w:t>
      </w:r>
      <w:proofErr w:type="gramStart"/>
      <w:r w:rsidR="0082674C" w:rsidRPr="00BD472F">
        <w:rPr>
          <w:i/>
          <w:iCs/>
        </w:rPr>
        <w:t>t</w:t>
      </w:r>
      <w:r w:rsidR="0082674C" w:rsidRPr="00BD472F">
        <w:t>[</w:t>
      </w:r>
      <w:proofErr w:type="gramEnd"/>
      <w:r w:rsidR="0082674C" w:rsidRPr="00BD472F">
        <w:t xml:space="preserve">88] = </w:t>
      </w:r>
      <w:r w:rsidR="00C80076" w:rsidRPr="00BD472F">
        <w:t>10</w:t>
      </w:r>
      <w:r w:rsidR="0082674C" w:rsidRPr="00BD472F">
        <w:t>.6</w:t>
      </w:r>
      <w:r w:rsidR="00C80076" w:rsidRPr="00BD472F">
        <w:t>0</w:t>
      </w:r>
      <w:r w:rsidR="0082674C" w:rsidRPr="00BD472F">
        <w:t xml:space="preserve">, </w:t>
      </w:r>
      <w:r w:rsidR="0082674C" w:rsidRPr="00BD472F">
        <w:rPr>
          <w:i/>
          <w:iCs/>
        </w:rPr>
        <w:t xml:space="preserve">p </w:t>
      </w:r>
      <w:r w:rsidR="0082674C" w:rsidRPr="00BD472F">
        <w:t>&lt; .001).</w:t>
      </w:r>
    </w:p>
    <w:p w14:paraId="398EEBB9" w14:textId="54FBFD67" w:rsidR="00011299" w:rsidRPr="00BD472F" w:rsidRDefault="00011299" w:rsidP="00F765C7">
      <w:pPr>
        <w:pStyle w:val="Heading4"/>
      </w:pPr>
      <w:r w:rsidRPr="00BD472F">
        <w:t>Usage Across Groups</w:t>
      </w:r>
    </w:p>
    <w:p w14:paraId="0A79AE33" w14:textId="38D0ED20" w:rsidR="00792D2F" w:rsidRPr="00BD472F" w:rsidRDefault="00792D2F" w:rsidP="00D6288F">
      <w:pPr>
        <w:spacing w:line="480" w:lineRule="auto"/>
      </w:pPr>
      <w:r w:rsidRPr="00BD472F">
        <w:rPr>
          <w:b/>
          <w:bCs/>
          <w:i/>
          <w:iCs/>
        </w:rPr>
        <w:tab/>
      </w:r>
      <w:r w:rsidR="007F1B63" w:rsidRPr="00BD472F">
        <w:t xml:space="preserve">Descriptive statistics of HMP usage </w:t>
      </w:r>
      <w:proofErr w:type="gramStart"/>
      <w:r w:rsidR="007F1B63" w:rsidRPr="00BD472F">
        <w:t>is</w:t>
      </w:r>
      <w:proofErr w:type="gramEnd"/>
      <w:r w:rsidR="007F1B63" w:rsidRPr="00BD472F">
        <w:t xml:space="preserve"> reported in </w:t>
      </w:r>
      <w:r w:rsidR="00A5491D" w:rsidRPr="00BD472F">
        <w:t xml:space="preserve">Supplemental Materials </w:t>
      </w:r>
      <w:r w:rsidR="007F1B63" w:rsidRPr="00BD472F">
        <w:t xml:space="preserve">Table </w:t>
      </w:r>
      <w:r w:rsidR="0059181E" w:rsidRPr="00BD472F">
        <w:t>2</w:t>
      </w:r>
      <w:r w:rsidR="007F1B63" w:rsidRPr="00BD472F">
        <w:t xml:space="preserve">. Participants in the high dosage condition completed substantially more minutes of meditation during the intervention period than the low dosage group (201.76 vs. 100.85, respectively; </w:t>
      </w:r>
      <w:proofErr w:type="gramStart"/>
      <w:r w:rsidR="007F1B63" w:rsidRPr="00BD472F">
        <w:rPr>
          <w:i/>
          <w:iCs/>
        </w:rPr>
        <w:t>t</w:t>
      </w:r>
      <w:r w:rsidR="007F1B63" w:rsidRPr="00BD472F">
        <w:t>[</w:t>
      </w:r>
      <w:proofErr w:type="gramEnd"/>
      <w:r w:rsidR="007F1B63" w:rsidRPr="00BD472F">
        <w:t xml:space="preserve">63] = 4.30, </w:t>
      </w:r>
      <w:r w:rsidR="007F1B63" w:rsidRPr="00BD472F">
        <w:rPr>
          <w:i/>
          <w:iCs/>
        </w:rPr>
        <w:t xml:space="preserve">p </w:t>
      </w:r>
      <w:r w:rsidR="007F1B63" w:rsidRPr="00BD472F">
        <w:t xml:space="preserve">&lt; .001, </w:t>
      </w:r>
      <w:r w:rsidR="007F1B63" w:rsidRPr="00BD472F">
        <w:rPr>
          <w:i/>
          <w:iCs/>
        </w:rPr>
        <w:t xml:space="preserve">d </w:t>
      </w:r>
      <w:r w:rsidR="007F1B63" w:rsidRPr="00BD472F">
        <w:t xml:space="preserve">= 0.90 [0.47, 1.32]). The groups did not differ in number of days of usage (14.72 vs. 17.28, respectively; </w:t>
      </w:r>
      <w:r w:rsidR="007F1B63" w:rsidRPr="00BD472F">
        <w:rPr>
          <w:i/>
          <w:iCs/>
        </w:rPr>
        <w:t>t</w:t>
      </w:r>
      <w:r w:rsidR="007F1B63" w:rsidRPr="00BD472F">
        <w:t xml:space="preserve">[89] = -1.65, </w:t>
      </w:r>
      <w:r w:rsidR="007F1B63" w:rsidRPr="00BD472F">
        <w:rPr>
          <w:i/>
          <w:iCs/>
        </w:rPr>
        <w:t xml:space="preserve">p </w:t>
      </w:r>
      <w:r w:rsidR="007F1B63" w:rsidRPr="00BD472F">
        <w:t xml:space="preserve">= .103, </w:t>
      </w:r>
      <w:r w:rsidR="007F1B63" w:rsidRPr="00BD472F">
        <w:rPr>
          <w:i/>
          <w:iCs/>
        </w:rPr>
        <w:t xml:space="preserve">d </w:t>
      </w:r>
      <w:r w:rsidR="007F1B63" w:rsidRPr="00BD472F">
        <w:t xml:space="preserve">= -0.34 [-0.75, 0.07]) or number of activities completed (51.43 vs. 57.65, respectively; </w:t>
      </w:r>
      <w:r w:rsidR="007F1B63" w:rsidRPr="00BD472F">
        <w:rPr>
          <w:i/>
          <w:iCs/>
        </w:rPr>
        <w:t>t</w:t>
      </w:r>
      <w:r w:rsidR="007F1B63" w:rsidRPr="00BD472F">
        <w:t xml:space="preserve">[82] = -0.76, </w:t>
      </w:r>
      <w:r w:rsidR="007F1B63" w:rsidRPr="00BD472F">
        <w:rPr>
          <w:i/>
          <w:iCs/>
        </w:rPr>
        <w:t xml:space="preserve">p </w:t>
      </w:r>
      <w:r w:rsidR="007F1B63" w:rsidRPr="00BD472F">
        <w:t xml:space="preserve">= .449, </w:t>
      </w:r>
      <w:r w:rsidR="007F1B63" w:rsidRPr="00BD472F">
        <w:rPr>
          <w:i/>
          <w:iCs/>
        </w:rPr>
        <w:t xml:space="preserve">d </w:t>
      </w:r>
      <w:r w:rsidR="007F1B63" w:rsidRPr="00BD472F">
        <w:t>= -0.16 [-0.57, 0.25]), although the direction of the effect showed higher usage (days, activities) in the low dosage condition.</w:t>
      </w:r>
    </w:p>
    <w:p w14:paraId="51CC09F1" w14:textId="11E1B129" w:rsidR="00662DD1" w:rsidRPr="00BD472F" w:rsidRDefault="00662DD1" w:rsidP="00D6288F">
      <w:pPr>
        <w:spacing w:line="480" w:lineRule="auto"/>
      </w:pPr>
      <w:r w:rsidRPr="00BD472F">
        <w:tab/>
      </w:r>
      <w:r w:rsidR="00D55940" w:rsidRPr="00BD472F">
        <w:t>As some skewness and/or kurtosis values were outside the recommended acceptable range (i.e., skewness &gt; 2.0, kurtosis &gt; 7.0; Curran et al., 1996) for minutes of meditation and activities completed</w:t>
      </w:r>
      <w:r w:rsidR="00CE5108" w:rsidRPr="00BD472F">
        <w:t xml:space="preserve"> (</w:t>
      </w:r>
      <w:r w:rsidR="003F5CB2" w:rsidRPr="00BD472F">
        <w:t xml:space="preserve">Supplemental Materials </w:t>
      </w:r>
      <w:r w:rsidR="00CE5108" w:rsidRPr="00BD472F">
        <w:t xml:space="preserve">Table </w:t>
      </w:r>
      <w:r w:rsidR="0059181E" w:rsidRPr="00BD472F">
        <w:t>2</w:t>
      </w:r>
      <w:r w:rsidR="00CE5108" w:rsidRPr="00BD472F">
        <w:t>)</w:t>
      </w:r>
      <w:r w:rsidR="00D55940" w:rsidRPr="00BD472F">
        <w:t xml:space="preserve">, we conducted additional sensitivity analyses. </w:t>
      </w:r>
      <w:r w:rsidR="008D61F5" w:rsidRPr="00BD472F">
        <w:t xml:space="preserve">The high dosage group continued to show </w:t>
      </w:r>
      <w:r w:rsidR="00E17D93" w:rsidRPr="00BD472F">
        <w:t xml:space="preserve">significantly more minutes of practice when a non-parametric Mann-Whitney </w:t>
      </w:r>
      <w:r w:rsidR="00E17D93" w:rsidRPr="00BD472F">
        <w:rPr>
          <w:i/>
          <w:iCs/>
        </w:rPr>
        <w:t>U</w:t>
      </w:r>
      <w:r w:rsidR="00E17D93" w:rsidRPr="00BD472F">
        <w:t>-test was used (</w:t>
      </w:r>
      <w:r w:rsidR="00E17D93" w:rsidRPr="00BD472F">
        <w:rPr>
          <w:i/>
          <w:iCs/>
        </w:rPr>
        <w:t xml:space="preserve">W </w:t>
      </w:r>
      <w:r w:rsidR="00E17D93" w:rsidRPr="00BD472F">
        <w:t>= 155</w:t>
      </w:r>
      <w:r w:rsidR="00437A46" w:rsidRPr="00BD472F">
        <w:t>3.5</w:t>
      </w:r>
      <w:r w:rsidR="00E17D93" w:rsidRPr="00BD472F">
        <w:t xml:space="preserve">, </w:t>
      </w:r>
      <w:r w:rsidR="00E17D93" w:rsidRPr="00BD472F">
        <w:rPr>
          <w:i/>
          <w:iCs/>
        </w:rPr>
        <w:t xml:space="preserve">p </w:t>
      </w:r>
      <w:r w:rsidR="00E17D93" w:rsidRPr="00BD472F">
        <w:t xml:space="preserve">&lt; .001). Similarly, the groups continued to not differ in number of activities completed when a Mann-Whitney </w:t>
      </w:r>
      <w:r w:rsidR="00E17D93" w:rsidRPr="00BD472F">
        <w:rPr>
          <w:i/>
          <w:iCs/>
        </w:rPr>
        <w:t>U</w:t>
      </w:r>
      <w:r w:rsidR="00E17D93" w:rsidRPr="00BD472F">
        <w:t>-test was used (</w:t>
      </w:r>
      <w:r w:rsidR="00E17D93" w:rsidRPr="00BD472F">
        <w:rPr>
          <w:i/>
          <w:iCs/>
        </w:rPr>
        <w:t xml:space="preserve">W </w:t>
      </w:r>
      <w:r w:rsidR="00E17D93" w:rsidRPr="00BD472F">
        <w:t xml:space="preserve">= 837, </w:t>
      </w:r>
      <w:r w:rsidR="00E17D93" w:rsidRPr="00BD472F">
        <w:rPr>
          <w:i/>
          <w:iCs/>
        </w:rPr>
        <w:t xml:space="preserve">p </w:t>
      </w:r>
      <w:r w:rsidR="00E17D93" w:rsidRPr="00BD472F">
        <w:t>= .085).</w:t>
      </w:r>
    </w:p>
    <w:p w14:paraId="3ECF529C" w14:textId="09AC97D6" w:rsidR="00D6288F" w:rsidRPr="00BD472F" w:rsidRDefault="00DF14CE" w:rsidP="00F765C7">
      <w:pPr>
        <w:pStyle w:val="Heading3"/>
      </w:pPr>
      <w:r w:rsidRPr="00BD472F">
        <w:t>Non-Preregistered</w:t>
      </w:r>
      <w:r w:rsidR="00981F11" w:rsidRPr="00BD472F">
        <w:t xml:space="preserve"> </w:t>
      </w:r>
      <w:r w:rsidR="00D6288F" w:rsidRPr="00BD472F">
        <w:t>Analyses</w:t>
      </w:r>
    </w:p>
    <w:p w14:paraId="75DA86EE" w14:textId="7719FD3E" w:rsidR="00D6288F" w:rsidRPr="00BD472F" w:rsidRDefault="00D6288F" w:rsidP="00F765C7">
      <w:pPr>
        <w:pStyle w:val="Heading4"/>
      </w:pPr>
      <w:r w:rsidRPr="00BD472F">
        <w:t>Retrospective Self-Report</w:t>
      </w:r>
    </w:p>
    <w:p w14:paraId="2C6E54F7" w14:textId="2950E9A1" w:rsidR="00C6153F" w:rsidRPr="00BD472F" w:rsidRDefault="00C6153F" w:rsidP="00D6288F">
      <w:pPr>
        <w:spacing w:line="480" w:lineRule="auto"/>
      </w:pPr>
      <w:r w:rsidRPr="00BD472F">
        <w:rPr>
          <w:b/>
          <w:bCs/>
          <w:i/>
          <w:iCs/>
        </w:rPr>
        <w:tab/>
      </w:r>
      <w:r w:rsidR="007953D7" w:rsidRPr="00BD472F">
        <w:t xml:space="preserve">Both groups showed reductions in psychological distress assessed via PROMIS Depression and Anxiety. For the high dosage group, </w:t>
      </w:r>
      <w:r w:rsidR="006E47DB" w:rsidRPr="00BD472F">
        <w:t>psychological distress</w:t>
      </w:r>
      <w:r w:rsidR="007953D7" w:rsidRPr="00BD472F">
        <w:t xml:space="preserve"> scores decreased from 61.08 (</w:t>
      </w:r>
      <w:r w:rsidR="007953D7" w:rsidRPr="00BD472F">
        <w:rPr>
          <w:i/>
          <w:iCs/>
        </w:rPr>
        <w:t xml:space="preserve">SD </w:t>
      </w:r>
      <w:r w:rsidR="007953D7" w:rsidRPr="00BD472F">
        <w:t>= 5.24) at pre-treatment to 56.78 (</w:t>
      </w:r>
      <w:r w:rsidR="007953D7" w:rsidRPr="00BD472F">
        <w:rPr>
          <w:i/>
          <w:iCs/>
        </w:rPr>
        <w:t xml:space="preserve">SD </w:t>
      </w:r>
      <w:r w:rsidR="007953D7" w:rsidRPr="00BD472F">
        <w:t>= 6.02) at post-treatment (</w:t>
      </w:r>
      <w:proofErr w:type="gramStart"/>
      <w:r w:rsidR="006E47DB" w:rsidRPr="00BD472F">
        <w:rPr>
          <w:i/>
          <w:iCs/>
        </w:rPr>
        <w:t>t</w:t>
      </w:r>
      <w:r w:rsidR="006E47DB" w:rsidRPr="00BD472F">
        <w:t>[</w:t>
      </w:r>
      <w:proofErr w:type="gramEnd"/>
      <w:r w:rsidR="006E47DB" w:rsidRPr="00BD472F">
        <w:t xml:space="preserve">43] = -4.16, </w:t>
      </w:r>
      <w:r w:rsidR="006E47DB" w:rsidRPr="00BD472F">
        <w:rPr>
          <w:i/>
          <w:iCs/>
        </w:rPr>
        <w:t xml:space="preserve">p </w:t>
      </w:r>
      <w:r w:rsidR="006E47DB" w:rsidRPr="00BD472F">
        <w:t xml:space="preserve">&lt; .001, </w:t>
      </w:r>
      <w:r w:rsidR="007953D7" w:rsidRPr="00BD472F">
        <w:t xml:space="preserve">Cohen’s </w:t>
      </w:r>
      <w:r w:rsidR="007953D7" w:rsidRPr="00BD472F">
        <w:rPr>
          <w:i/>
          <w:iCs/>
        </w:rPr>
        <w:t xml:space="preserve">d </w:t>
      </w:r>
      <w:r w:rsidR="007953D7" w:rsidRPr="00BD472F">
        <w:t>= 0.63</w:t>
      </w:r>
      <w:r w:rsidR="006E47DB" w:rsidRPr="00BD472F">
        <w:t>, 95% confidence interval [CI] [0.30 - 0.96]</w:t>
      </w:r>
      <w:r w:rsidR="007953D7" w:rsidRPr="00BD472F">
        <w:t xml:space="preserve">). For the low dosage group, </w:t>
      </w:r>
      <w:r w:rsidR="007953D7" w:rsidRPr="00BD472F">
        <w:lastRenderedPageBreak/>
        <w:t xml:space="preserve">average scores </w:t>
      </w:r>
      <w:r w:rsidR="006E47DB" w:rsidRPr="00BD472F">
        <w:t>decreased</w:t>
      </w:r>
      <w:r w:rsidR="007953D7" w:rsidRPr="00BD472F">
        <w:t xml:space="preserve"> from 60.93 (</w:t>
      </w:r>
      <w:r w:rsidR="007953D7" w:rsidRPr="00BD472F">
        <w:rPr>
          <w:i/>
          <w:iCs/>
        </w:rPr>
        <w:t xml:space="preserve">SD </w:t>
      </w:r>
      <w:r w:rsidR="007953D7" w:rsidRPr="00BD472F">
        <w:t>= 5.38) at pre-treatment to 57.28 (</w:t>
      </w:r>
      <w:r w:rsidR="007953D7" w:rsidRPr="00BD472F">
        <w:rPr>
          <w:i/>
          <w:iCs/>
        </w:rPr>
        <w:t xml:space="preserve">SD = </w:t>
      </w:r>
      <w:r w:rsidR="007953D7" w:rsidRPr="00BD472F">
        <w:t>5.63) at post-treatment (</w:t>
      </w:r>
      <w:proofErr w:type="gramStart"/>
      <w:r w:rsidR="006E47DB" w:rsidRPr="00BD472F">
        <w:rPr>
          <w:i/>
          <w:iCs/>
        </w:rPr>
        <w:t>t</w:t>
      </w:r>
      <w:r w:rsidR="006E47DB" w:rsidRPr="00BD472F">
        <w:t>[</w:t>
      </w:r>
      <w:proofErr w:type="gramEnd"/>
      <w:r w:rsidR="006E47DB" w:rsidRPr="00BD472F">
        <w:t xml:space="preserve">44] =-5.55, </w:t>
      </w:r>
      <w:r w:rsidR="006E47DB" w:rsidRPr="00BD472F">
        <w:rPr>
          <w:i/>
          <w:iCs/>
        </w:rPr>
        <w:t xml:space="preserve">p </w:t>
      </w:r>
      <w:r w:rsidR="006E47DB" w:rsidRPr="00BD472F">
        <w:t xml:space="preserve">&lt; .001, </w:t>
      </w:r>
      <w:r w:rsidR="007953D7" w:rsidRPr="00BD472F">
        <w:rPr>
          <w:i/>
          <w:iCs/>
        </w:rPr>
        <w:t xml:space="preserve">d </w:t>
      </w:r>
      <w:r w:rsidR="007953D7" w:rsidRPr="00BD472F">
        <w:t>= 0.83</w:t>
      </w:r>
      <w:r w:rsidR="006E47DB" w:rsidRPr="00BD472F">
        <w:t xml:space="preserve"> [0.49 – 1.18]</w:t>
      </w:r>
      <w:r w:rsidR="007953D7" w:rsidRPr="00BD472F">
        <w:t>).</w:t>
      </w:r>
      <w:r w:rsidR="006E47DB" w:rsidRPr="00BD472F">
        <w:t xml:space="preserve"> The difference between groups on post-treatment psychological distress controlling for pre-treatment psychological distress was not significant (</w:t>
      </w:r>
      <w:r w:rsidR="006E47DB" w:rsidRPr="00BD472F">
        <w:rPr>
          <w:i/>
          <w:iCs/>
        </w:rPr>
        <w:t xml:space="preserve">b </w:t>
      </w:r>
      <w:r w:rsidR="006E47DB" w:rsidRPr="00BD472F">
        <w:t xml:space="preserve">= </w:t>
      </w:r>
      <w:r w:rsidR="00F74910" w:rsidRPr="00BD472F">
        <w:t>-</w:t>
      </w:r>
      <w:r w:rsidR="006E47DB" w:rsidRPr="00BD472F">
        <w:t>0.68, standard error</w:t>
      </w:r>
      <w:r w:rsidR="000B17C0" w:rsidRPr="00BD472F">
        <w:t xml:space="preserve"> [</w:t>
      </w:r>
      <w:r w:rsidR="000B17C0" w:rsidRPr="00BD472F">
        <w:rPr>
          <w:i/>
          <w:iCs/>
        </w:rPr>
        <w:t>SE</w:t>
      </w:r>
      <w:r w:rsidR="000B17C0" w:rsidRPr="00BD472F">
        <w:t>]</w:t>
      </w:r>
      <w:r w:rsidR="006E47DB" w:rsidRPr="00BD472F">
        <w:t xml:space="preserve"> = 1.11, </w:t>
      </w:r>
      <w:r w:rsidR="006E47DB" w:rsidRPr="00BD472F">
        <w:rPr>
          <w:i/>
          <w:iCs/>
        </w:rPr>
        <w:t xml:space="preserve">t </w:t>
      </w:r>
      <w:r w:rsidR="006E47DB" w:rsidRPr="00BD472F">
        <w:t xml:space="preserve">= </w:t>
      </w:r>
      <w:r w:rsidR="00F74910" w:rsidRPr="00BD472F">
        <w:t>-</w:t>
      </w:r>
      <w:r w:rsidR="006E47DB" w:rsidRPr="00BD472F">
        <w:t xml:space="preserve">0.61, </w:t>
      </w:r>
      <w:r w:rsidR="006E47DB" w:rsidRPr="00BD472F">
        <w:rPr>
          <w:i/>
          <w:iCs/>
        </w:rPr>
        <w:t xml:space="preserve">p </w:t>
      </w:r>
      <w:r w:rsidR="006E47DB" w:rsidRPr="00BD472F">
        <w:t>= .543,</w:t>
      </w:r>
      <w:r w:rsidR="00502212" w:rsidRPr="00BD472F">
        <w:t xml:space="preserve"> standardized </w:t>
      </w:r>
      <w:r w:rsidR="00502212" w:rsidRPr="00BD472F">
        <w:rPr>
          <w:i/>
          <w:iCs/>
        </w:rPr>
        <w:t xml:space="preserve">b </w:t>
      </w:r>
      <w:r w:rsidR="00502212" w:rsidRPr="00BD472F">
        <w:t xml:space="preserve">= </w:t>
      </w:r>
      <w:r w:rsidR="00F74910" w:rsidRPr="00BD472F">
        <w:t>-</w:t>
      </w:r>
      <w:r w:rsidR="00502212" w:rsidRPr="00BD472F">
        <w:t>0.1</w:t>
      </w:r>
      <w:r w:rsidR="00F74910" w:rsidRPr="00BD472F">
        <w:t>2</w:t>
      </w:r>
      <w:r w:rsidR="00502212" w:rsidRPr="00BD472F">
        <w:t xml:space="preserve"> [-0</w:t>
      </w:r>
      <w:r w:rsidR="00401B35" w:rsidRPr="00BD472F">
        <w:t>.</w:t>
      </w:r>
      <w:r w:rsidR="00F74910" w:rsidRPr="00BD472F">
        <w:t>50, 0.</w:t>
      </w:r>
      <w:r w:rsidR="00502212" w:rsidRPr="00BD472F">
        <w:t>26],</w:t>
      </w:r>
      <w:r w:rsidR="006E47DB" w:rsidRPr="00BD472F">
        <w:t xml:space="preserve"> with </w:t>
      </w:r>
      <w:r w:rsidR="00502212" w:rsidRPr="00BD472F">
        <w:t xml:space="preserve">low </w:t>
      </w:r>
      <w:r w:rsidR="006E47DB" w:rsidRPr="00BD472F">
        <w:t>dosage as the reference group).</w:t>
      </w:r>
    </w:p>
    <w:p w14:paraId="15234D63" w14:textId="6A90635F" w:rsidR="00EF1DFF" w:rsidRPr="00BD472F" w:rsidRDefault="00EF1DFF" w:rsidP="00F765C7">
      <w:pPr>
        <w:pStyle w:val="Heading4"/>
      </w:pPr>
      <w:r w:rsidRPr="00BD472F">
        <w:t>EMA</w:t>
      </w:r>
    </w:p>
    <w:p w14:paraId="3E1E020D" w14:textId="5185B2C0" w:rsidR="000B17C0" w:rsidRPr="00BD472F" w:rsidRDefault="000B17C0" w:rsidP="0091264B">
      <w:pPr>
        <w:spacing w:line="480" w:lineRule="auto"/>
      </w:pPr>
      <w:r w:rsidRPr="00BD472F">
        <w:rPr>
          <w:b/>
          <w:bCs/>
          <w:i/>
          <w:iCs/>
        </w:rPr>
        <w:tab/>
      </w:r>
      <w:r w:rsidR="00505656" w:rsidRPr="00BD472F">
        <w:t>For linear multilevel models, r</w:t>
      </w:r>
      <w:r w:rsidR="00767487" w:rsidRPr="00BD472F">
        <w:t xml:space="preserve">andom slopes improved model fit </w:t>
      </w:r>
      <w:r w:rsidR="0078423E" w:rsidRPr="00BD472F">
        <w:t>for the sample overall and when examined within the high and low dosage groups separately (</w:t>
      </w:r>
      <w:proofErr w:type="spellStart"/>
      <w:r w:rsidR="0078423E" w:rsidRPr="00BD472F">
        <w:rPr>
          <w:i/>
          <w:iCs/>
        </w:rPr>
        <w:t>p</w:t>
      </w:r>
      <w:r w:rsidR="0078423E" w:rsidRPr="00BD472F">
        <w:t>s</w:t>
      </w:r>
      <w:proofErr w:type="spellEnd"/>
      <w:r w:rsidR="0078423E" w:rsidRPr="00BD472F">
        <w:t xml:space="preserve"> &lt; .001). </w:t>
      </w:r>
      <w:r w:rsidR="00C51D2B" w:rsidRPr="00BD472F">
        <w:t xml:space="preserve">In linear models, </w:t>
      </w:r>
      <w:r w:rsidRPr="00BD472F">
        <w:t xml:space="preserve">EMA psychological distress </w:t>
      </w:r>
      <w:r w:rsidR="00C51D2B" w:rsidRPr="00BD472F">
        <w:t xml:space="preserve">did not decrease </w:t>
      </w:r>
      <w:r w:rsidRPr="00BD472F">
        <w:t xml:space="preserve">over the course of the </w:t>
      </w:r>
      <w:r w:rsidR="00DF71D1" w:rsidRPr="00BD472F">
        <w:t>28-day</w:t>
      </w:r>
      <w:r w:rsidRPr="00BD472F">
        <w:t xml:space="preserve"> intervention period for </w:t>
      </w:r>
      <w:r w:rsidR="00A87E90" w:rsidRPr="00BD472F">
        <w:t xml:space="preserve">the </w:t>
      </w:r>
      <w:r w:rsidRPr="00BD472F">
        <w:t>high dosage</w:t>
      </w:r>
      <w:r w:rsidR="00C51D2B" w:rsidRPr="00BD472F">
        <w:t xml:space="preserve"> group</w:t>
      </w:r>
      <w:r w:rsidRPr="00BD472F">
        <w:t xml:space="preserve"> (</w:t>
      </w:r>
      <w:r w:rsidR="00F84589" w:rsidRPr="00BD472F">
        <w:t xml:space="preserve">standardized </w:t>
      </w:r>
      <w:r w:rsidRPr="00BD472F">
        <w:rPr>
          <w:i/>
          <w:iCs/>
        </w:rPr>
        <w:t>b</w:t>
      </w:r>
      <w:r w:rsidRPr="00BD472F">
        <w:t xml:space="preserve"> = -0.</w:t>
      </w:r>
      <w:r w:rsidR="00C51D2B" w:rsidRPr="00BD472F">
        <w:t>028</w:t>
      </w:r>
      <w:r w:rsidRPr="00BD472F">
        <w:t xml:space="preserve"> </w:t>
      </w:r>
      <w:r w:rsidR="00F84589" w:rsidRPr="00BD472F">
        <w:t xml:space="preserve">[-0.11, 0.05], </w:t>
      </w:r>
      <w:r w:rsidRPr="00BD472F">
        <w:rPr>
          <w:i/>
          <w:iCs/>
        </w:rPr>
        <w:t>t</w:t>
      </w:r>
      <w:r w:rsidRPr="00BD472F">
        <w:t xml:space="preserve"> = -</w:t>
      </w:r>
      <w:r w:rsidR="00F84589" w:rsidRPr="00BD472F">
        <w:t>0</w:t>
      </w:r>
      <w:r w:rsidRPr="00BD472F">
        <w:t>.</w:t>
      </w:r>
      <w:r w:rsidR="00F84589" w:rsidRPr="00BD472F">
        <w:t>69</w:t>
      </w:r>
      <w:r w:rsidRPr="00BD472F">
        <w:t xml:space="preserve">, </w:t>
      </w:r>
      <w:r w:rsidRPr="00BD472F">
        <w:rPr>
          <w:i/>
          <w:iCs/>
        </w:rPr>
        <w:t xml:space="preserve">p </w:t>
      </w:r>
      <w:r w:rsidRPr="00BD472F">
        <w:t>= .</w:t>
      </w:r>
      <w:r w:rsidR="00F84589" w:rsidRPr="00BD472F">
        <w:t>493</w:t>
      </w:r>
      <w:r w:rsidRPr="00BD472F">
        <w:t>)</w:t>
      </w:r>
      <w:r w:rsidR="004F3323" w:rsidRPr="00BD472F">
        <w:t xml:space="preserve"> although it did in the</w:t>
      </w:r>
      <w:r w:rsidRPr="00BD472F">
        <w:t xml:space="preserve"> low dosage</w:t>
      </w:r>
      <w:r w:rsidR="004F3323" w:rsidRPr="00BD472F">
        <w:t xml:space="preserve"> group</w:t>
      </w:r>
      <w:r w:rsidRPr="00BD472F">
        <w:t xml:space="preserve"> (</w:t>
      </w:r>
      <w:r w:rsidR="004F3323" w:rsidRPr="00BD472F">
        <w:t xml:space="preserve">standardized </w:t>
      </w:r>
      <w:r w:rsidRPr="00BD472F">
        <w:rPr>
          <w:i/>
          <w:iCs/>
        </w:rPr>
        <w:t xml:space="preserve">b </w:t>
      </w:r>
      <w:r w:rsidRPr="00BD472F">
        <w:t>= -0.1</w:t>
      </w:r>
      <w:r w:rsidR="004F3323" w:rsidRPr="00BD472F">
        <w:t>0 [-0.15, -0.048]</w:t>
      </w:r>
      <w:r w:rsidRPr="00BD472F">
        <w:t xml:space="preserve">, </w:t>
      </w:r>
      <w:r w:rsidRPr="00BD472F">
        <w:rPr>
          <w:i/>
          <w:iCs/>
        </w:rPr>
        <w:t xml:space="preserve">t </w:t>
      </w:r>
      <w:r w:rsidRPr="00BD472F">
        <w:t>= -</w:t>
      </w:r>
      <w:r w:rsidR="004F3323" w:rsidRPr="00BD472F">
        <w:t>3</w:t>
      </w:r>
      <w:r w:rsidRPr="00BD472F">
        <w:t>.</w:t>
      </w:r>
      <w:r w:rsidR="004F3323" w:rsidRPr="00BD472F">
        <w:t>84</w:t>
      </w:r>
      <w:r w:rsidRPr="00BD472F">
        <w:t xml:space="preserve">, </w:t>
      </w:r>
      <w:r w:rsidRPr="00BD472F">
        <w:rPr>
          <w:i/>
          <w:iCs/>
        </w:rPr>
        <w:t xml:space="preserve">p </w:t>
      </w:r>
      <w:r w:rsidRPr="00BD472F">
        <w:t>&lt; .001).</w:t>
      </w:r>
      <w:r w:rsidR="00046090" w:rsidRPr="00BD472F">
        <w:t xml:space="preserve"> </w:t>
      </w:r>
      <w:r w:rsidR="004F3323" w:rsidRPr="00BD472F">
        <w:t>The interaction between time and group</w:t>
      </w:r>
      <w:r w:rsidRPr="00BD472F">
        <w:t xml:space="preserve"> was</w:t>
      </w:r>
      <w:r w:rsidR="004F3323" w:rsidRPr="00BD472F">
        <w:t xml:space="preserve"> not</w:t>
      </w:r>
      <w:r w:rsidRPr="00BD472F">
        <w:t xml:space="preserve"> significant (</w:t>
      </w:r>
      <w:r w:rsidR="004F3323" w:rsidRPr="00BD472F">
        <w:t xml:space="preserve">interaction </w:t>
      </w:r>
      <w:r w:rsidRPr="00BD472F">
        <w:rPr>
          <w:i/>
          <w:iCs/>
        </w:rPr>
        <w:t xml:space="preserve">b </w:t>
      </w:r>
      <w:r w:rsidRPr="00BD472F">
        <w:t>= 0.01</w:t>
      </w:r>
      <w:r w:rsidR="004F3323" w:rsidRPr="00BD472F">
        <w:t>2</w:t>
      </w:r>
      <w:r w:rsidRPr="00BD472F">
        <w:t xml:space="preserve">, </w:t>
      </w:r>
      <w:r w:rsidRPr="00BD472F">
        <w:rPr>
          <w:i/>
          <w:iCs/>
        </w:rPr>
        <w:t xml:space="preserve">SE </w:t>
      </w:r>
      <w:r w:rsidRPr="00BD472F">
        <w:t>= 0.00</w:t>
      </w:r>
      <w:r w:rsidR="004F3323" w:rsidRPr="00BD472F">
        <w:t>82</w:t>
      </w:r>
      <w:r w:rsidRPr="00BD472F">
        <w:t xml:space="preserve">, </w:t>
      </w:r>
      <w:r w:rsidRPr="00BD472F">
        <w:rPr>
          <w:i/>
          <w:iCs/>
        </w:rPr>
        <w:t xml:space="preserve">t </w:t>
      </w:r>
      <w:r w:rsidRPr="00BD472F">
        <w:t xml:space="preserve">= </w:t>
      </w:r>
      <w:r w:rsidR="004F3323" w:rsidRPr="00BD472F">
        <w:t>1</w:t>
      </w:r>
      <w:r w:rsidRPr="00BD472F">
        <w:t>.</w:t>
      </w:r>
      <w:r w:rsidR="004F3323" w:rsidRPr="00BD472F">
        <w:t>46</w:t>
      </w:r>
      <w:r w:rsidRPr="00BD472F">
        <w:t xml:space="preserve">, </w:t>
      </w:r>
      <w:r w:rsidRPr="00BD472F">
        <w:rPr>
          <w:i/>
          <w:iCs/>
        </w:rPr>
        <w:t>p</w:t>
      </w:r>
      <w:r w:rsidRPr="00BD472F">
        <w:t xml:space="preserve"> </w:t>
      </w:r>
      <w:r w:rsidR="004F3323" w:rsidRPr="00BD472F">
        <w:t>=</w:t>
      </w:r>
      <w:r w:rsidRPr="00BD472F">
        <w:t xml:space="preserve"> .</w:t>
      </w:r>
      <w:r w:rsidR="004F3323" w:rsidRPr="00BD472F">
        <w:t>147</w:t>
      </w:r>
      <w:r w:rsidR="00A20EBF" w:rsidRPr="00BD472F">
        <w:t>)</w:t>
      </w:r>
      <w:r w:rsidR="00856842" w:rsidRPr="00BD472F">
        <w:t>.</w:t>
      </w:r>
      <w:r w:rsidR="00A20EBF" w:rsidRPr="00BD472F">
        <w:t xml:space="preserve"> However, as can be seen in Figure 1, changes over time followed a non-linear pattern for the high dosage group</w:t>
      </w:r>
      <w:r w:rsidRPr="00BD472F">
        <w:t>.</w:t>
      </w:r>
      <w:r w:rsidR="0091264B" w:rsidRPr="00BD472F">
        <w:t xml:space="preserve"> </w:t>
      </w:r>
    </w:p>
    <w:p w14:paraId="345D63AF" w14:textId="6162E1F7" w:rsidR="00374BD4" w:rsidRPr="00BD472F" w:rsidRDefault="00374BD4" w:rsidP="004B6460">
      <w:pPr>
        <w:spacing w:line="480" w:lineRule="auto"/>
        <w:ind w:firstLine="720"/>
      </w:pPr>
      <w:r w:rsidRPr="00BD472F">
        <w:t>Allowing each group to follow its own nonlinear trajectory of study day improved out-of-sample fit relative to a model constraining both groups to group-specific linear trends (difference in expected log predictive density = 47.2,</w:t>
      </w:r>
      <w:r w:rsidR="004B6460" w:rsidRPr="00BD472F">
        <w:t xml:space="preserve"> </w:t>
      </w:r>
      <w:r w:rsidR="004B6460" w:rsidRPr="00BD472F">
        <w:rPr>
          <w:i/>
          <w:iCs/>
        </w:rPr>
        <w:t>SE</w:t>
      </w:r>
      <w:r w:rsidRPr="00BD472F">
        <w:t xml:space="preserve"> = 10.5, favoring the nonlinear model). Consistent with randomization, the groups did not differ in baseline distress (</w:t>
      </w:r>
      <w:r w:rsidRPr="00BD472F">
        <w:rPr>
          <w:rStyle w:val="Emphasis"/>
        </w:rPr>
        <w:t>b</w:t>
      </w:r>
      <w:r w:rsidRPr="00BD472F">
        <w:t xml:space="preserve"> = −0.15, 95% </w:t>
      </w:r>
      <w:r w:rsidR="004B6460" w:rsidRPr="00BD472F">
        <w:t>credible interval [</w:t>
      </w:r>
      <w:proofErr w:type="spellStart"/>
      <w:r w:rsidRPr="00BD472F">
        <w:t>CrI</w:t>
      </w:r>
      <w:proofErr w:type="spellEnd"/>
      <w:r w:rsidR="004B6460" w:rsidRPr="00BD472F">
        <w:t>]</w:t>
      </w:r>
      <w:r w:rsidRPr="00BD472F">
        <w:t xml:space="preserve"> [−0.55, 0.24]</w:t>
      </w:r>
      <w:r w:rsidR="00DF14CE" w:rsidRPr="00BD472F">
        <w:t xml:space="preserve">; Supplemental Materials Table </w:t>
      </w:r>
      <w:r w:rsidR="0059181E" w:rsidRPr="00BD472F">
        <w:t>3</w:t>
      </w:r>
      <w:r w:rsidRPr="00BD472F">
        <w:t xml:space="preserve">). The estimated trajectory departed markedly from linearity in the </w:t>
      </w:r>
      <w:r w:rsidR="004B6460" w:rsidRPr="00BD472F">
        <w:t>h</w:t>
      </w:r>
      <w:r w:rsidRPr="00BD472F">
        <w:t>igh</w:t>
      </w:r>
      <w:r w:rsidR="004B6460" w:rsidRPr="00BD472F">
        <w:t xml:space="preserve"> dosage</w:t>
      </w:r>
      <w:r w:rsidRPr="00BD472F">
        <w:t xml:space="preserve"> group (nonlinear </w:t>
      </w:r>
      <w:r w:rsidRPr="00BD472F">
        <w:rPr>
          <w:rStyle w:val="Emphasis"/>
        </w:rPr>
        <w:t>SD</w:t>
      </w:r>
      <w:r w:rsidRPr="00BD472F">
        <w:t xml:space="preserve"> = 3.68, 95% </w:t>
      </w:r>
      <w:proofErr w:type="spellStart"/>
      <w:r w:rsidRPr="00BD472F">
        <w:t>CrI</w:t>
      </w:r>
      <w:proofErr w:type="spellEnd"/>
      <w:r w:rsidRPr="00BD472F">
        <w:t xml:space="preserve"> [1.98, 6.40]) but was shrunk toward a linear trend in the </w:t>
      </w:r>
      <w:r w:rsidR="004B6460" w:rsidRPr="00BD472F">
        <w:t>l</w:t>
      </w:r>
      <w:r w:rsidRPr="00BD472F">
        <w:t>ow</w:t>
      </w:r>
      <w:r w:rsidR="004B6460" w:rsidRPr="00BD472F">
        <w:t xml:space="preserve"> dosage</w:t>
      </w:r>
      <w:r w:rsidRPr="00BD472F">
        <w:t xml:space="preserve"> group (nonlinear </w:t>
      </w:r>
      <w:r w:rsidRPr="00BD472F">
        <w:rPr>
          <w:rStyle w:val="Emphasis"/>
        </w:rPr>
        <w:t>SD</w:t>
      </w:r>
      <w:r w:rsidRPr="00BD472F">
        <w:t xml:space="preserve"> = 0.38, 95% </w:t>
      </w:r>
      <w:proofErr w:type="spellStart"/>
      <w:r w:rsidRPr="00BD472F">
        <w:t>CrI</w:t>
      </w:r>
      <w:proofErr w:type="spellEnd"/>
      <w:r w:rsidRPr="00BD472F">
        <w:t xml:space="preserve"> [0.02, 1.22]), indicating that the groups differed primarily in the shape of change over time rather than in overall level. The posterior difference between the fitted trajectories (High − Low) was credibly negative from day 3.00 (difference = −0.44, 95% </w:t>
      </w:r>
      <w:proofErr w:type="spellStart"/>
      <w:r w:rsidRPr="00BD472F">
        <w:t>CrI</w:t>
      </w:r>
      <w:proofErr w:type="spellEnd"/>
      <w:r w:rsidRPr="00BD472F">
        <w:t xml:space="preserve"> [−0.86, −0.01]) </w:t>
      </w:r>
      <w:proofErr w:type="spellStart"/>
      <w:r w:rsidRPr="00BD472F">
        <w:t>to day</w:t>
      </w:r>
      <w:proofErr w:type="spellEnd"/>
      <w:r w:rsidRPr="00BD472F">
        <w:t xml:space="preserve"> 11.25 </w:t>
      </w:r>
      <w:r w:rsidRPr="00BD472F">
        <w:lastRenderedPageBreak/>
        <w:t xml:space="preserve">(difference = −0.40, 95% </w:t>
      </w:r>
      <w:proofErr w:type="spellStart"/>
      <w:r w:rsidRPr="00BD472F">
        <w:t>CrI</w:t>
      </w:r>
      <w:proofErr w:type="spellEnd"/>
      <w:r w:rsidRPr="00BD472F">
        <w:t xml:space="preserve"> [−0.81, −0.01]), indicating lower momentary distress in the </w:t>
      </w:r>
      <w:r w:rsidR="004B6460" w:rsidRPr="00BD472F">
        <w:t>h</w:t>
      </w:r>
      <w:r w:rsidRPr="00BD472F">
        <w:t>igh</w:t>
      </w:r>
      <w:r w:rsidR="004B6460" w:rsidRPr="00BD472F">
        <w:t xml:space="preserve"> dosage</w:t>
      </w:r>
      <w:r w:rsidRPr="00BD472F">
        <w:t xml:space="preserve"> group across the early portion of the study; this separation did not persist under a simultaneous credible band (</w:t>
      </w:r>
      <w:r w:rsidR="00DF14CE" w:rsidRPr="00BD472F">
        <w:t xml:space="preserve">Supplemental Materials </w:t>
      </w:r>
      <w:r w:rsidRPr="00BD472F">
        <w:t xml:space="preserve">Figure </w:t>
      </w:r>
      <w:r w:rsidR="00DF14CE" w:rsidRPr="00BD472F">
        <w:t>2</w:t>
      </w:r>
      <w:r w:rsidRPr="00BD472F">
        <w:t>).</w:t>
      </w:r>
    </w:p>
    <w:p w14:paraId="71F9624D" w14:textId="77777777" w:rsidR="006C64A3" w:rsidRPr="00BD472F" w:rsidRDefault="006C64A3" w:rsidP="00F765C7">
      <w:pPr>
        <w:pStyle w:val="Heading4"/>
      </w:pPr>
      <w:r w:rsidRPr="00BD472F">
        <w:t>Adverse Experiences and Serious Adverse Events</w:t>
      </w:r>
    </w:p>
    <w:p w14:paraId="11CC9EEB" w14:textId="6FC38F58" w:rsidR="006C64A3" w:rsidRPr="00BD472F" w:rsidRDefault="006C64A3" w:rsidP="00D6288F">
      <w:pPr>
        <w:spacing w:line="480" w:lineRule="auto"/>
      </w:pPr>
      <w:r w:rsidRPr="00BD472F">
        <w:rPr>
          <w:b/>
          <w:bCs/>
        </w:rPr>
        <w:tab/>
      </w:r>
      <w:r w:rsidRPr="00BD472F">
        <w:t xml:space="preserve">Of the 88 participants who completed the adverse experiences item, 71.6% reported no adverse experiences, 15.9% reported these occurred rarely, 9.1% reported they occurred occasionally, 2.3% reported they occurred regularly, and 1.1% reported they occurred frequently. The likelihood of reporting adverse experiences did not differ between the high dosage (25.0%, 11 out of 44) and low dosage (31.8%, 14 out of 44) groups (odds ratio = </w:t>
      </w:r>
      <w:r w:rsidR="00F51D44" w:rsidRPr="00BD472F">
        <w:t>0</w:t>
      </w:r>
      <w:r w:rsidRPr="00BD472F">
        <w:t>.</w:t>
      </w:r>
      <w:r w:rsidR="00F51D44" w:rsidRPr="00BD472F">
        <w:t>71</w:t>
      </w:r>
      <w:r w:rsidRPr="00BD472F">
        <w:t xml:space="preserve"> [0.</w:t>
      </w:r>
      <w:r w:rsidR="00F51D44" w:rsidRPr="00BD472F">
        <w:t>28</w:t>
      </w:r>
      <w:r w:rsidRPr="00BD472F">
        <w:t xml:space="preserve">, </w:t>
      </w:r>
      <w:r w:rsidR="00F51D44" w:rsidRPr="00BD472F">
        <w:t>1</w:t>
      </w:r>
      <w:r w:rsidRPr="00BD472F">
        <w:t>.</w:t>
      </w:r>
      <w:r w:rsidR="00F51D44" w:rsidRPr="00BD472F">
        <w:t>81</w:t>
      </w:r>
      <w:r w:rsidRPr="00BD472F">
        <w:t xml:space="preserve">], </w:t>
      </w:r>
      <w:r w:rsidRPr="00BD472F">
        <w:rPr>
          <w:i/>
          <w:iCs/>
        </w:rPr>
        <w:t xml:space="preserve">p </w:t>
      </w:r>
      <w:r w:rsidRPr="00BD472F">
        <w:t xml:space="preserve">= .479, with </w:t>
      </w:r>
      <w:r w:rsidR="00F51D44" w:rsidRPr="00BD472F">
        <w:t>low</w:t>
      </w:r>
      <w:r w:rsidRPr="00BD472F">
        <w:t xml:space="preserve"> dosage as the reference group). No serious adverse events were reported.</w:t>
      </w:r>
    </w:p>
    <w:p w14:paraId="1F6B1676" w14:textId="0B63E173" w:rsidR="00A35134" w:rsidRPr="00BD472F" w:rsidRDefault="00A35134" w:rsidP="00F765C7">
      <w:pPr>
        <w:pStyle w:val="Heading2"/>
      </w:pPr>
      <w:r w:rsidRPr="00BD472F">
        <w:t>Qualitative Results</w:t>
      </w:r>
    </w:p>
    <w:p w14:paraId="0A47B9F1" w14:textId="0DFDA30E" w:rsidR="006C64A3" w:rsidRPr="00BD472F" w:rsidRDefault="006C64A3" w:rsidP="00D6288F">
      <w:pPr>
        <w:spacing w:line="480" w:lineRule="auto"/>
        <w:rPr>
          <w:b/>
          <w:bCs/>
        </w:rPr>
      </w:pPr>
      <w:r w:rsidRPr="00BD472F">
        <w:rPr>
          <w:b/>
          <w:bCs/>
        </w:rPr>
        <w:tab/>
      </w:r>
      <w:r w:rsidRPr="00BD472F">
        <w:rPr>
          <w:rFonts w:eastAsia="Times New Roman"/>
          <w:color w:val="000000" w:themeColor="text1"/>
        </w:rPr>
        <w:t>Qualitative interviews ranged from 23 to 39 minutes, all taking place and recorded via Zoom.</w:t>
      </w:r>
      <w:r w:rsidRPr="00BD472F">
        <w:t xml:space="preserve"> </w:t>
      </w:r>
      <w:r w:rsidRPr="00BD472F">
        <w:rPr>
          <w:rFonts w:eastAsia="Times New Roman"/>
          <w:color w:val="000000" w:themeColor="text1"/>
        </w:rPr>
        <w:t>The demographics of the 20 participants were: 35.95 years on average (</w:t>
      </w:r>
      <w:r w:rsidRPr="00BD472F">
        <w:rPr>
          <w:rFonts w:eastAsia="Times New Roman"/>
          <w:i/>
          <w:iCs/>
          <w:color w:val="000000" w:themeColor="text1"/>
        </w:rPr>
        <w:t>SD</w:t>
      </w:r>
      <w:r w:rsidRPr="00BD472F">
        <w:rPr>
          <w:rFonts w:eastAsia="Times New Roman"/>
          <w:color w:val="000000" w:themeColor="text1"/>
        </w:rPr>
        <w:t xml:space="preserve"> = 18.38, range [18, 80]</w:t>
      </w:r>
      <w:r w:rsidR="00A87E90" w:rsidRPr="00BD472F">
        <w:rPr>
          <w:rFonts w:eastAsia="Times New Roman"/>
          <w:color w:val="000000" w:themeColor="text1"/>
        </w:rPr>
        <w:t>)</w:t>
      </w:r>
      <w:r w:rsidRPr="00BD472F">
        <w:rPr>
          <w:rFonts w:eastAsia="Times New Roman"/>
          <w:color w:val="000000" w:themeColor="text1"/>
        </w:rPr>
        <w:t>; 85.0% female, 15.0% male; 60.0% non-Latinx White, 25.0% Asian, 5.0% Latinx White, 5.0% Black or African American, 5.0% American Indian.</w:t>
      </w:r>
    </w:p>
    <w:p w14:paraId="6D5B5B4F" w14:textId="1ECE6E85" w:rsidR="00B26494" w:rsidRPr="00BD472F" w:rsidRDefault="00B26494" w:rsidP="00B26494">
      <w:pPr>
        <w:spacing w:line="480" w:lineRule="auto"/>
        <w:rPr>
          <w:rFonts w:eastAsia="Times New Roman"/>
          <w:color w:val="000000" w:themeColor="text1"/>
        </w:rPr>
      </w:pPr>
      <w:r w:rsidRPr="00BD472F">
        <w:rPr>
          <w:b/>
          <w:bCs/>
        </w:rPr>
        <w:tab/>
      </w:r>
      <w:r w:rsidRPr="00BD472F">
        <w:rPr>
          <w:rFonts w:eastAsia="Times New Roman"/>
          <w:color w:val="000000" w:themeColor="text1"/>
        </w:rPr>
        <w:t xml:space="preserve">Data analysis generated </w:t>
      </w:r>
      <w:r w:rsidR="00727D37" w:rsidRPr="00BD472F">
        <w:rPr>
          <w:rFonts w:eastAsia="Times New Roman"/>
          <w:color w:val="000000" w:themeColor="text1"/>
        </w:rPr>
        <w:t>three</w:t>
      </w:r>
      <w:r w:rsidRPr="00BD472F">
        <w:rPr>
          <w:rFonts w:eastAsia="Times New Roman"/>
          <w:color w:val="000000" w:themeColor="text1"/>
        </w:rPr>
        <w:t xml:space="preserve"> theme</w:t>
      </w:r>
      <w:r w:rsidR="00727D37" w:rsidRPr="00BD472F">
        <w:rPr>
          <w:rFonts w:eastAsia="Times New Roman"/>
          <w:color w:val="000000" w:themeColor="text1"/>
        </w:rPr>
        <w:t>s</w:t>
      </w:r>
      <w:r w:rsidRPr="00BD472F">
        <w:rPr>
          <w:rFonts w:eastAsia="Times New Roman"/>
          <w:color w:val="000000" w:themeColor="text1"/>
        </w:rPr>
        <w:t xml:space="preserve">—Dosage Adherence, Survey Receipt and Completion, and Survey Content and Understanding. </w:t>
      </w:r>
      <w:r w:rsidR="008957CF" w:rsidRPr="00BD472F">
        <w:rPr>
          <w:rFonts w:eastAsia="Times New Roman"/>
          <w:color w:val="000000" w:themeColor="text1"/>
        </w:rPr>
        <w:t xml:space="preserve">While these three themes reflect distinct components of the study procedure, all participants connected points of confusion and understanding about the study procedures back to the initial study phone call </w:t>
      </w:r>
      <w:r w:rsidR="00EE05CD" w:rsidRPr="00BD472F">
        <w:rPr>
          <w:rFonts w:eastAsia="Times New Roman"/>
          <w:color w:val="000000" w:themeColor="text1"/>
        </w:rPr>
        <w:t>where this</w:t>
      </w:r>
      <w:r w:rsidR="008957CF" w:rsidRPr="00BD472F">
        <w:rPr>
          <w:rFonts w:eastAsia="Times New Roman"/>
          <w:color w:val="000000" w:themeColor="text1"/>
        </w:rPr>
        <w:t xml:space="preserve"> information was provided.</w:t>
      </w:r>
    </w:p>
    <w:p w14:paraId="5DCB3EBF" w14:textId="5C16DE42" w:rsidR="00B54F7D" w:rsidRPr="00BD472F" w:rsidRDefault="00B26494" w:rsidP="00F765C7">
      <w:pPr>
        <w:pStyle w:val="Heading3"/>
        <w:rPr>
          <w:rFonts w:eastAsia="Times New Roman"/>
        </w:rPr>
      </w:pPr>
      <w:r w:rsidRPr="00BD472F">
        <w:rPr>
          <w:rFonts w:eastAsia="Times New Roman"/>
        </w:rPr>
        <w:t>Dosage Adherence</w:t>
      </w:r>
      <w:r w:rsidR="00DF14CE" w:rsidRPr="00BD472F">
        <w:rPr>
          <w:rFonts w:eastAsia="Times New Roman"/>
        </w:rPr>
        <w:t xml:space="preserve"> </w:t>
      </w:r>
    </w:p>
    <w:p w14:paraId="071D79BF" w14:textId="1F49E753" w:rsidR="00F77C76" w:rsidRPr="00BD472F" w:rsidRDefault="00B26494" w:rsidP="00B54F7D">
      <w:pPr>
        <w:spacing w:line="480" w:lineRule="auto"/>
        <w:ind w:firstLine="720"/>
        <w:rPr>
          <w:rFonts w:eastAsia="Times New Roman"/>
          <w:b/>
          <w:bCs/>
          <w:color w:val="000000" w:themeColor="text1"/>
        </w:rPr>
      </w:pPr>
      <w:r w:rsidRPr="00BD472F">
        <w:rPr>
          <w:rFonts w:eastAsia="Times New Roman"/>
          <w:color w:val="000000" w:themeColor="text1"/>
        </w:rPr>
        <w:t>Th</w:t>
      </w:r>
      <w:r w:rsidR="00B54F7D" w:rsidRPr="00BD472F">
        <w:rPr>
          <w:rFonts w:eastAsia="Times New Roman"/>
          <w:color w:val="000000" w:themeColor="text1"/>
        </w:rPr>
        <w:t>e</w:t>
      </w:r>
      <w:r w:rsidRPr="00BD472F">
        <w:rPr>
          <w:rFonts w:eastAsia="Times New Roman"/>
          <w:color w:val="000000" w:themeColor="text1"/>
        </w:rPr>
        <w:t xml:space="preserve"> first theme, Dosage Adherence, includes the logistical, practical, cognitive, and emotional barriers and facilitators influencing participants’ adherence to their assigned daily meditation dosage</w:t>
      </w:r>
      <w:r w:rsidR="00F77C76" w:rsidRPr="00BD472F">
        <w:rPr>
          <w:rFonts w:eastAsia="Times New Roman"/>
          <w:color w:val="000000" w:themeColor="text1"/>
        </w:rPr>
        <w:t>. In terms of facilitators, w</w:t>
      </w:r>
      <w:r w:rsidRPr="00BD472F">
        <w:rPr>
          <w:rFonts w:eastAsia="Times New Roman"/>
          <w:color w:val="000000" w:themeColor="text1"/>
        </w:rPr>
        <w:t xml:space="preserve">hile one participant noted that the 15-minute </w:t>
      </w:r>
      <w:r w:rsidRPr="00BD472F">
        <w:rPr>
          <w:rFonts w:eastAsia="Times New Roman"/>
          <w:color w:val="000000" w:themeColor="text1"/>
        </w:rPr>
        <w:lastRenderedPageBreak/>
        <w:t>meditations went by quickly,</w:t>
      </w:r>
      <w:r w:rsidR="008957CF" w:rsidRPr="00BD472F">
        <w:rPr>
          <w:rFonts w:eastAsia="Times New Roman"/>
          <w:color w:val="000000" w:themeColor="text1"/>
        </w:rPr>
        <w:t xml:space="preserve"> </w:t>
      </w:r>
      <w:r w:rsidRPr="00BD472F">
        <w:rPr>
          <w:rFonts w:eastAsia="Times New Roman"/>
          <w:color w:val="000000" w:themeColor="text1"/>
        </w:rPr>
        <w:t xml:space="preserve">participants in the 5-minute group more commonly provided positive feedback on their assigned dosage, with some stating that this was the “perfect” amount of time for daily meditation (e.g., before becoming inattentive). </w:t>
      </w:r>
    </w:p>
    <w:p w14:paraId="38AA8E96" w14:textId="3D7783A6" w:rsidR="00F77C76" w:rsidRPr="00BD472F" w:rsidRDefault="00F77C76" w:rsidP="00B26494">
      <w:pPr>
        <w:spacing w:line="480" w:lineRule="auto"/>
        <w:rPr>
          <w:rFonts w:eastAsia="Times New Roman"/>
          <w:color w:val="000000" w:themeColor="text1"/>
        </w:rPr>
      </w:pPr>
      <w:r w:rsidRPr="00BD472F">
        <w:rPr>
          <w:rFonts w:eastAsia="Times New Roman"/>
          <w:color w:val="000000" w:themeColor="text1"/>
        </w:rPr>
        <w:tab/>
        <w:t>Regarding barriers, s</w:t>
      </w:r>
      <w:r w:rsidR="00B26494" w:rsidRPr="00BD472F">
        <w:rPr>
          <w:rFonts w:eastAsia="Times New Roman"/>
          <w:color w:val="000000" w:themeColor="text1"/>
        </w:rPr>
        <w:t xml:space="preserve">everal participants expressed confusion about what it meant to be in the 5- or 15-minute dosage groups and one participant reported not being sure which group they had been in. </w:t>
      </w:r>
      <w:r w:rsidR="00B54F7D" w:rsidRPr="00BD472F">
        <w:rPr>
          <w:rFonts w:eastAsia="Times New Roman"/>
          <w:color w:val="000000" w:themeColor="text1"/>
        </w:rPr>
        <w:t xml:space="preserve">Further, another participant did not realize that taking part in the study would require daily meditation and survey completion during the four-week study period with no time off, noting this was quite burdensome. </w:t>
      </w:r>
      <w:r w:rsidR="00B26494" w:rsidRPr="00BD472F">
        <w:rPr>
          <w:rFonts w:eastAsia="Times New Roman"/>
          <w:color w:val="000000" w:themeColor="text1"/>
        </w:rPr>
        <w:t xml:space="preserve">This </w:t>
      </w:r>
      <w:r w:rsidR="00B54F7D" w:rsidRPr="00BD472F">
        <w:rPr>
          <w:rFonts w:eastAsia="Times New Roman"/>
          <w:color w:val="000000" w:themeColor="text1"/>
        </w:rPr>
        <w:t xml:space="preserve">understanding </w:t>
      </w:r>
      <w:r w:rsidR="00B26494" w:rsidRPr="00BD472F">
        <w:rPr>
          <w:rFonts w:eastAsia="Times New Roman"/>
          <w:color w:val="000000" w:themeColor="text1"/>
        </w:rPr>
        <w:t xml:space="preserve">was despite the dosage assignment being explained in the onboarding phone call, wherein they were told </w:t>
      </w:r>
      <w:r w:rsidR="00EE05CD" w:rsidRPr="00BD472F">
        <w:rPr>
          <w:rFonts w:eastAsia="Times New Roman"/>
          <w:color w:val="000000" w:themeColor="text1"/>
        </w:rPr>
        <w:t xml:space="preserve">approximately </w:t>
      </w:r>
      <w:r w:rsidR="00B26494" w:rsidRPr="00BD472F">
        <w:rPr>
          <w:rFonts w:eastAsia="Times New Roman"/>
          <w:color w:val="000000" w:themeColor="text1"/>
        </w:rPr>
        <w:t>how many minutes they should be meditating using the HMP app daily during the study period.</w:t>
      </w:r>
      <w:r w:rsidRPr="00BD472F">
        <w:rPr>
          <w:rFonts w:eastAsia="Times New Roman"/>
          <w:color w:val="000000" w:themeColor="text1"/>
        </w:rPr>
        <w:t xml:space="preserve"> </w:t>
      </w:r>
    </w:p>
    <w:p w14:paraId="54CD8789" w14:textId="5E827607" w:rsidR="00B26494" w:rsidRPr="00BD472F" w:rsidRDefault="00B26494" w:rsidP="00AE2D3C">
      <w:pPr>
        <w:spacing w:line="480" w:lineRule="auto"/>
        <w:ind w:firstLine="720"/>
        <w:rPr>
          <w:rFonts w:eastAsia="Times New Roman"/>
          <w:color w:val="000000" w:themeColor="text1"/>
        </w:rPr>
      </w:pPr>
      <w:r w:rsidRPr="00BD472F">
        <w:rPr>
          <w:rFonts w:eastAsia="Times New Roman"/>
          <w:color w:val="000000" w:themeColor="text1"/>
        </w:rPr>
        <w:t xml:space="preserve">Some participants did not know whether their assigned dosage meant they should meditate for that amount of time daily or if this time could be met through a combination of both the </w:t>
      </w:r>
      <w:r w:rsidR="004F0D66" w:rsidRPr="00BD472F">
        <w:rPr>
          <w:rFonts w:eastAsia="Times New Roman"/>
          <w:color w:val="000000" w:themeColor="text1"/>
        </w:rPr>
        <w:t xml:space="preserve">guided </w:t>
      </w:r>
      <w:r w:rsidRPr="00BD472F">
        <w:rPr>
          <w:rFonts w:eastAsia="Times New Roman"/>
          <w:color w:val="000000" w:themeColor="text1"/>
        </w:rPr>
        <w:t>meditations and lessons</w:t>
      </w:r>
      <w:r w:rsidR="004F0D66" w:rsidRPr="00BD472F">
        <w:rPr>
          <w:rFonts w:eastAsia="Times New Roman"/>
          <w:color w:val="000000" w:themeColor="text1"/>
        </w:rPr>
        <w:t xml:space="preserve"> in HMP</w:t>
      </w:r>
      <w:r w:rsidRPr="00BD472F">
        <w:rPr>
          <w:rFonts w:eastAsia="Times New Roman"/>
          <w:color w:val="000000" w:themeColor="text1"/>
        </w:rPr>
        <w:t>. During the initial phone call, it was not clearly stated that the lessons were separate, flexible time. One participant shared feeling “afraid” they were doing something wrong by going through additional meditations and lessons beyond their assigned dosage, while another participant felt they were moving through the HMP units too quickly, leading them to slow down and meditating only three times per week.</w:t>
      </w:r>
    </w:p>
    <w:p w14:paraId="6BD57E24" w14:textId="781AC40B" w:rsidR="00B26494" w:rsidRPr="00BD472F" w:rsidRDefault="00B26494" w:rsidP="00B26494">
      <w:pPr>
        <w:spacing w:line="480" w:lineRule="auto"/>
        <w:ind w:firstLine="720"/>
        <w:rPr>
          <w:rFonts w:eastAsia="Times New Roman"/>
          <w:color w:val="000000" w:themeColor="text1"/>
        </w:rPr>
      </w:pPr>
      <w:r w:rsidRPr="00BD472F">
        <w:rPr>
          <w:rFonts w:eastAsia="Times New Roman"/>
          <w:color w:val="000000" w:themeColor="text1"/>
        </w:rPr>
        <w:t xml:space="preserve">One participant commented that it was helpful to have a </w:t>
      </w:r>
      <w:r w:rsidRPr="00BD472F">
        <w:rPr>
          <w:rFonts w:eastAsia="Times New Roman"/>
          <w:i/>
          <w:iCs/>
          <w:color w:val="000000" w:themeColor="text1"/>
        </w:rPr>
        <w:t xml:space="preserve">weekly </w:t>
      </w:r>
      <w:r w:rsidRPr="00BD472F">
        <w:rPr>
          <w:rFonts w:eastAsia="Times New Roman"/>
          <w:color w:val="000000" w:themeColor="text1"/>
        </w:rPr>
        <w:t xml:space="preserve">meditation goal, rather than a </w:t>
      </w:r>
      <w:r w:rsidRPr="00BD472F">
        <w:rPr>
          <w:rFonts w:eastAsia="Times New Roman"/>
          <w:i/>
          <w:iCs/>
          <w:color w:val="000000" w:themeColor="text1"/>
        </w:rPr>
        <w:t xml:space="preserve">daily </w:t>
      </w:r>
      <w:r w:rsidRPr="00BD472F">
        <w:rPr>
          <w:rFonts w:eastAsia="Times New Roman"/>
          <w:color w:val="000000" w:themeColor="text1"/>
        </w:rPr>
        <w:t>meditation goal, in case they had a busier day during which meditation was difficult. While this was not the approach discussed during the onboarding phone call, it is possible that this participant confused the expectation to complete 75% of the four-times daily surveys for an additional $50—applying this idea to their meditation practice instead.</w:t>
      </w:r>
    </w:p>
    <w:p w14:paraId="07670366" w14:textId="6C507330" w:rsidR="00B54F7D" w:rsidRPr="00BD472F" w:rsidRDefault="00B26494" w:rsidP="00F765C7">
      <w:pPr>
        <w:pStyle w:val="Heading3"/>
        <w:rPr>
          <w:rFonts w:eastAsia="Times New Roman"/>
        </w:rPr>
      </w:pPr>
      <w:r w:rsidRPr="00BD472F">
        <w:rPr>
          <w:rFonts w:eastAsia="Times New Roman"/>
        </w:rPr>
        <w:lastRenderedPageBreak/>
        <w:t>Survey Receipt and Completion</w:t>
      </w:r>
      <w:r w:rsidR="00DF14CE" w:rsidRPr="00BD472F">
        <w:rPr>
          <w:rFonts w:eastAsia="Times New Roman"/>
        </w:rPr>
        <w:t xml:space="preserve"> </w:t>
      </w:r>
    </w:p>
    <w:p w14:paraId="7256C9C5" w14:textId="010B7C78" w:rsidR="00B26494" w:rsidRPr="00BD472F" w:rsidRDefault="00B26494" w:rsidP="00B54F7D">
      <w:pPr>
        <w:spacing w:line="480" w:lineRule="auto"/>
        <w:ind w:firstLine="720"/>
        <w:rPr>
          <w:rFonts w:eastAsia="Times New Roman"/>
          <w:b/>
          <w:bCs/>
          <w:color w:val="000000" w:themeColor="text1"/>
        </w:rPr>
      </w:pPr>
      <w:r w:rsidRPr="00BD472F">
        <w:rPr>
          <w:rFonts w:eastAsia="Times New Roman"/>
          <w:color w:val="000000" w:themeColor="text1"/>
        </w:rPr>
        <w:t xml:space="preserve">The second theme, Survey Receipt and Completion, includes the logistical, practical, cognitive, and emotional barriers and facilitators influencing participants’ engagement, accessibility, and usability of the </w:t>
      </w:r>
      <w:r w:rsidR="00EE05CD" w:rsidRPr="00BD472F">
        <w:rPr>
          <w:rFonts w:eastAsia="Times New Roman"/>
          <w:color w:val="000000" w:themeColor="text1"/>
        </w:rPr>
        <w:t>EMAs</w:t>
      </w:r>
      <w:r w:rsidRPr="00BD472F">
        <w:rPr>
          <w:rFonts w:eastAsia="Times New Roman"/>
          <w:color w:val="000000" w:themeColor="text1"/>
        </w:rPr>
        <w:t xml:space="preserve"> administered. Some participants found the requirement to complete four </w:t>
      </w:r>
      <w:r w:rsidR="001F652E" w:rsidRPr="00BD472F">
        <w:rPr>
          <w:rFonts w:eastAsia="Times New Roman"/>
          <w:color w:val="000000" w:themeColor="text1"/>
        </w:rPr>
        <w:t xml:space="preserve">EMAs </w:t>
      </w:r>
      <w:r w:rsidRPr="00BD472F">
        <w:rPr>
          <w:rFonts w:eastAsia="Times New Roman"/>
          <w:color w:val="000000" w:themeColor="text1"/>
        </w:rPr>
        <w:t>daily during the study period “stressful,” despite them being designed to take only two minutes to complete. This may be connected to a lack of clarity regarding the study procedures</w:t>
      </w:r>
      <w:r w:rsidR="00B54F7D" w:rsidRPr="00BD472F">
        <w:rPr>
          <w:rFonts w:eastAsia="Times New Roman"/>
          <w:color w:val="000000" w:themeColor="text1"/>
        </w:rPr>
        <w:t xml:space="preserve">, though </w:t>
      </w:r>
      <w:r w:rsidR="00DF3C60" w:rsidRPr="00BD472F">
        <w:rPr>
          <w:rFonts w:eastAsia="Times New Roman"/>
          <w:color w:val="000000" w:themeColor="text1"/>
        </w:rPr>
        <w:t>much</w:t>
      </w:r>
      <w:r w:rsidR="00B54F7D" w:rsidRPr="00BD472F">
        <w:rPr>
          <w:rFonts w:eastAsia="Times New Roman"/>
          <w:color w:val="000000" w:themeColor="text1"/>
        </w:rPr>
        <w:t xml:space="preserve"> of the onboarding phone call was spent discussing, in detail, the EMAs that participants would receive throughout the study period.</w:t>
      </w:r>
      <w:r w:rsidRPr="00BD472F">
        <w:rPr>
          <w:rFonts w:eastAsia="Times New Roman"/>
          <w:color w:val="000000" w:themeColor="text1"/>
        </w:rPr>
        <w:t xml:space="preserve"> </w:t>
      </w:r>
      <w:r w:rsidR="00B54F7D" w:rsidRPr="00BD472F">
        <w:rPr>
          <w:rFonts w:eastAsia="Times New Roman"/>
          <w:color w:val="000000" w:themeColor="text1"/>
        </w:rPr>
        <w:t>F</w:t>
      </w:r>
      <w:r w:rsidRPr="00BD472F">
        <w:rPr>
          <w:rFonts w:eastAsia="Times New Roman"/>
          <w:color w:val="000000" w:themeColor="text1"/>
        </w:rPr>
        <w:t xml:space="preserve">or example, one participant appeared to misunderstand the study procedures, noting that, every time she received the </w:t>
      </w:r>
      <w:r w:rsidR="001F652E" w:rsidRPr="00BD472F">
        <w:rPr>
          <w:rFonts w:eastAsia="Times New Roman"/>
          <w:color w:val="000000" w:themeColor="text1"/>
        </w:rPr>
        <w:t>EMA</w:t>
      </w:r>
      <w:r w:rsidRPr="00BD472F">
        <w:rPr>
          <w:rFonts w:eastAsia="Times New Roman"/>
          <w:color w:val="000000" w:themeColor="text1"/>
        </w:rPr>
        <w:t xml:space="preserve">, she meditated for her 15-minute dosage and then completed the </w:t>
      </w:r>
      <w:r w:rsidR="001F652E" w:rsidRPr="00BD472F">
        <w:rPr>
          <w:rFonts w:eastAsia="Times New Roman"/>
          <w:color w:val="000000" w:themeColor="text1"/>
        </w:rPr>
        <w:t>EMA.</w:t>
      </w:r>
      <w:r w:rsidR="00B54F7D" w:rsidRPr="00BD472F">
        <w:rPr>
          <w:rFonts w:eastAsia="Times New Roman"/>
          <w:color w:val="000000" w:themeColor="text1"/>
        </w:rPr>
        <w:t xml:space="preserve"> </w:t>
      </w:r>
    </w:p>
    <w:p w14:paraId="06878A2C" w14:textId="0EDE5AA2" w:rsidR="00B26494" w:rsidRPr="00BD472F" w:rsidRDefault="00B26494" w:rsidP="00B26494">
      <w:pPr>
        <w:spacing w:line="480" w:lineRule="auto"/>
        <w:ind w:firstLine="720"/>
        <w:rPr>
          <w:rFonts w:eastAsia="Times New Roman"/>
          <w:color w:val="000000" w:themeColor="text1"/>
        </w:rPr>
      </w:pPr>
      <w:r w:rsidRPr="00BD472F">
        <w:rPr>
          <w:rFonts w:eastAsia="Times New Roman"/>
          <w:color w:val="000000" w:themeColor="text1"/>
        </w:rPr>
        <w:t xml:space="preserve">Despite there being no formal timeframe during which to complete </w:t>
      </w:r>
      <w:r w:rsidR="001F652E" w:rsidRPr="00BD472F">
        <w:rPr>
          <w:rFonts w:eastAsia="Times New Roman"/>
          <w:color w:val="000000" w:themeColor="text1"/>
        </w:rPr>
        <w:t>the EMAs,</w:t>
      </w:r>
      <w:r w:rsidRPr="00BD472F">
        <w:rPr>
          <w:rFonts w:eastAsia="Times New Roman"/>
          <w:color w:val="000000" w:themeColor="text1"/>
        </w:rPr>
        <w:t xml:space="preserve"> </w:t>
      </w:r>
      <w:r w:rsidR="00F77C76" w:rsidRPr="00BD472F">
        <w:rPr>
          <w:rFonts w:eastAsia="Times New Roman"/>
          <w:color w:val="000000" w:themeColor="text1"/>
        </w:rPr>
        <w:t>most</w:t>
      </w:r>
      <w:r w:rsidRPr="00BD472F">
        <w:rPr>
          <w:rFonts w:eastAsia="Times New Roman"/>
          <w:color w:val="000000" w:themeColor="text1"/>
        </w:rPr>
        <w:t xml:space="preserve"> participants referred to a “two-hour window” during which they were expected to complete each survey. This </w:t>
      </w:r>
      <w:r w:rsidR="004F0D66" w:rsidRPr="00BD472F">
        <w:rPr>
          <w:rFonts w:eastAsia="Times New Roman"/>
          <w:color w:val="000000" w:themeColor="text1"/>
        </w:rPr>
        <w:t xml:space="preserve">may have been </w:t>
      </w:r>
      <w:r w:rsidRPr="00BD472F">
        <w:rPr>
          <w:rFonts w:eastAsia="Times New Roman"/>
          <w:color w:val="000000" w:themeColor="text1"/>
        </w:rPr>
        <w:t xml:space="preserve">an adapted understanding of information provided during the onboarding phone call regarding expected </w:t>
      </w:r>
      <w:r w:rsidR="001F652E" w:rsidRPr="00BD472F">
        <w:rPr>
          <w:rFonts w:eastAsia="Times New Roman"/>
          <w:color w:val="000000" w:themeColor="text1"/>
        </w:rPr>
        <w:t>EMA</w:t>
      </w:r>
      <w:r w:rsidRPr="00BD472F">
        <w:rPr>
          <w:rFonts w:eastAsia="Times New Roman"/>
          <w:color w:val="000000" w:themeColor="text1"/>
        </w:rPr>
        <w:t xml:space="preserve"> frequency; because four </w:t>
      </w:r>
      <w:r w:rsidR="001F652E" w:rsidRPr="00BD472F">
        <w:rPr>
          <w:rFonts w:eastAsia="Times New Roman"/>
          <w:color w:val="000000" w:themeColor="text1"/>
        </w:rPr>
        <w:t>EMAs</w:t>
      </w:r>
      <w:r w:rsidRPr="00BD472F">
        <w:rPr>
          <w:rFonts w:eastAsia="Times New Roman"/>
          <w:color w:val="000000" w:themeColor="text1"/>
        </w:rPr>
        <w:t xml:space="preserve"> arrived between 9am and 7pm, participants could expect about two to three hours between each </w:t>
      </w:r>
      <w:r w:rsidR="001F652E" w:rsidRPr="00BD472F">
        <w:rPr>
          <w:rFonts w:eastAsia="Times New Roman"/>
          <w:color w:val="000000" w:themeColor="text1"/>
        </w:rPr>
        <w:t>EMA</w:t>
      </w:r>
      <w:r w:rsidRPr="00BD472F">
        <w:rPr>
          <w:rFonts w:eastAsia="Times New Roman"/>
          <w:color w:val="000000" w:themeColor="text1"/>
        </w:rPr>
        <w:t xml:space="preserve"> and that they should try to complete the current </w:t>
      </w:r>
      <w:r w:rsidR="001F652E" w:rsidRPr="00BD472F">
        <w:rPr>
          <w:rFonts w:eastAsia="Times New Roman"/>
          <w:color w:val="000000" w:themeColor="text1"/>
        </w:rPr>
        <w:t>EMA</w:t>
      </w:r>
      <w:r w:rsidRPr="00BD472F">
        <w:rPr>
          <w:rFonts w:eastAsia="Times New Roman"/>
          <w:color w:val="000000" w:themeColor="text1"/>
        </w:rPr>
        <w:t xml:space="preserve"> before the next one arrived. While this is not synonymous with a “two-hour window,” most participants described their experiences completing the </w:t>
      </w:r>
      <w:r w:rsidR="001F652E" w:rsidRPr="00BD472F">
        <w:rPr>
          <w:rFonts w:eastAsia="Times New Roman"/>
          <w:color w:val="000000" w:themeColor="text1"/>
        </w:rPr>
        <w:t>EMAs</w:t>
      </w:r>
      <w:r w:rsidRPr="00BD472F">
        <w:rPr>
          <w:rFonts w:eastAsia="Times New Roman"/>
          <w:color w:val="000000" w:themeColor="text1"/>
        </w:rPr>
        <w:t xml:space="preserve"> using this language.</w:t>
      </w:r>
    </w:p>
    <w:p w14:paraId="18CC7A5A" w14:textId="64ABD2AA" w:rsidR="00B26494" w:rsidRPr="00BD472F" w:rsidRDefault="001F652E" w:rsidP="00B26494">
      <w:pPr>
        <w:spacing w:line="480" w:lineRule="auto"/>
        <w:ind w:firstLine="720"/>
        <w:rPr>
          <w:rFonts w:eastAsia="Times New Roman"/>
          <w:color w:val="000000" w:themeColor="text1"/>
        </w:rPr>
      </w:pPr>
      <w:r w:rsidRPr="00BD472F">
        <w:rPr>
          <w:rFonts w:eastAsia="Times New Roman"/>
          <w:color w:val="000000" w:themeColor="text1"/>
        </w:rPr>
        <w:t>Some</w:t>
      </w:r>
      <w:r w:rsidR="00B26494" w:rsidRPr="00BD472F">
        <w:rPr>
          <w:rFonts w:eastAsia="Times New Roman"/>
          <w:color w:val="000000" w:themeColor="text1"/>
        </w:rPr>
        <w:t xml:space="preserve"> participants wished the </w:t>
      </w:r>
      <w:r w:rsidRPr="00BD472F">
        <w:rPr>
          <w:rFonts w:eastAsia="Times New Roman"/>
          <w:color w:val="000000" w:themeColor="text1"/>
        </w:rPr>
        <w:t>EMAs</w:t>
      </w:r>
      <w:r w:rsidR="00B26494" w:rsidRPr="00BD472F">
        <w:rPr>
          <w:rFonts w:eastAsia="Times New Roman"/>
          <w:color w:val="000000" w:themeColor="text1"/>
        </w:rPr>
        <w:t xml:space="preserve"> came at different times of day or that they, as the participants, could set their own </w:t>
      </w:r>
      <w:r w:rsidRPr="00BD472F">
        <w:rPr>
          <w:rFonts w:eastAsia="Times New Roman"/>
          <w:color w:val="000000" w:themeColor="text1"/>
        </w:rPr>
        <w:t>EMA</w:t>
      </w:r>
      <w:r w:rsidR="00B26494" w:rsidRPr="00BD472F">
        <w:rPr>
          <w:rFonts w:eastAsia="Times New Roman"/>
          <w:color w:val="000000" w:themeColor="text1"/>
        </w:rPr>
        <w:t xml:space="preserve"> window to suit their personal schedules (i.e., different from 9am to 7pm). For example, one participant described herself as a “night owl” and found it difficult to complete </w:t>
      </w:r>
      <w:r w:rsidRPr="00BD472F">
        <w:rPr>
          <w:rFonts w:eastAsia="Times New Roman"/>
          <w:color w:val="000000" w:themeColor="text1"/>
        </w:rPr>
        <w:t>EMA</w:t>
      </w:r>
      <w:r w:rsidR="00B26494" w:rsidRPr="00BD472F">
        <w:rPr>
          <w:rFonts w:eastAsia="Times New Roman"/>
          <w:color w:val="000000" w:themeColor="text1"/>
        </w:rPr>
        <w:t xml:space="preserve">s that arrived closer to 9am. </w:t>
      </w:r>
      <w:r w:rsidRPr="00BD472F">
        <w:rPr>
          <w:rFonts w:eastAsia="Times New Roman"/>
          <w:color w:val="000000" w:themeColor="text1"/>
        </w:rPr>
        <w:t>Some</w:t>
      </w:r>
      <w:r w:rsidR="00B26494" w:rsidRPr="00BD472F">
        <w:rPr>
          <w:rFonts w:eastAsia="Times New Roman"/>
          <w:color w:val="000000" w:themeColor="text1"/>
        </w:rPr>
        <w:t xml:space="preserve"> expressed a similar sentiment connected to their education or jobs, which limited phone access during business hours or did not have a private location in which the participants could complete the </w:t>
      </w:r>
      <w:r w:rsidRPr="00BD472F">
        <w:rPr>
          <w:rFonts w:eastAsia="Times New Roman"/>
          <w:color w:val="000000" w:themeColor="text1"/>
        </w:rPr>
        <w:t>EMAs</w:t>
      </w:r>
      <w:r w:rsidR="00B26494" w:rsidRPr="00BD472F">
        <w:rPr>
          <w:rFonts w:eastAsia="Times New Roman"/>
          <w:color w:val="000000" w:themeColor="text1"/>
        </w:rPr>
        <w:t xml:space="preserve">. </w:t>
      </w:r>
      <w:r w:rsidR="007B3368" w:rsidRPr="00BD472F">
        <w:rPr>
          <w:rFonts w:eastAsia="Times New Roman"/>
          <w:color w:val="000000" w:themeColor="text1"/>
        </w:rPr>
        <w:t>Some participants</w:t>
      </w:r>
      <w:r w:rsidR="00B26494" w:rsidRPr="00BD472F">
        <w:rPr>
          <w:rFonts w:eastAsia="Times New Roman"/>
          <w:color w:val="000000" w:themeColor="text1"/>
        </w:rPr>
        <w:t xml:space="preserve"> </w:t>
      </w:r>
      <w:r w:rsidR="00B26494" w:rsidRPr="00BD472F">
        <w:rPr>
          <w:rFonts w:eastAsia="Times New Roman"/>
          <w:color w:val="000000" w:themeColor="text1"/>
        </w:rPr>
        <w:lastRenderedPageBreak/>
        <w:t xml:space="preserve">traveled throughout the study period and </w:t>
      </w:r>
      <w:r w:rsidRPr="00BD472F">
        <w:rPr>
          <w:rFonts w:eastAsia="Times New Roman"/>
          <w:color w:val="000000" w:themeColor="text1"/>
        </w:rPr>
        <w:t>could not</w:t>
      </w:r>
      <w:r w:rsidR="00B26494" w:rsidRPr="00BD472F">
        <w:rPr>
          <w:rFonts w:eastAsia="Times New Roman"/>
          <w:color w:val="000000" w:themeColor="text1"/>
        </w:rPr>
        <w:t xml:space="preserve"> receive and complete </w:t>
      </w:r>
      <w:r w:rsidRPr="00BD472F">
        <w:rPr>
          <w:rFonts w:eastAsia="Times New Roman"/>
          <w:color w:val="000000" w:themeColor="text1"/>
        </w:rPr>
        <w:t>EMAs</w:t>
      </w:r>
      <w:r w:rsidR="00B26494" w:rsidRPr="00BD472F">
        <w:rPr>
          <w:rFonts w:eastAsia="Times New Roman"/>
          <w:color w:val="000000" w:themeColor="text1"/>
        </w:rPr>
        <w:t xml:space="preserve"> during air travel. A few participants noted that they simply did not look at their phones that often, meaning they often missed </w:t>
      </w:r>
      <w:r w:rsidR="007B3368" w:rsidRPr="00BD472F">
        <w:rPr>
          <w:rFonts w:eastAsia="Times New Roman"/>
          <w:color w:val="000000" w:themeColor="text1"/>
        </w:rPr>
        <w:t>the opportunity to respond to the EMA.</w:t>
      </w:r>
    </w:p>
    <w:p w14:paraId="777E834B" w14:textId="41093ECD" w:rsidR="00B26494" w:rsidRPr="00BD472F" w:rsidRDefault="00B26494" w:rsidP="00B26494">
      <w:pPr>
        <w:spacing w:line="480" w:lineRule="auto"/>
        <w:ind w:firstLine="720"/>
        <w:rPr>
          <w:rFonts w:eastAsia="Times New Roman"/>
          <w:b/>
          <w:bCs/>
          <w:i/>
          <w:iCs/>
          <w:color w:val="000000" w:themeColor="text1"/>
        </w:rPr>
      </w:pPr>
      <w:r w:rsidRPr="00BD472F">
        <w:rPr>
          <w:rFonts w:eastAsia="Times New Roman"/>
          <w:color w:val="000000" w:themeColor="text1"/>
        </w:rPr>
        <w:t xml:space="preserve">Relatedly, participants also reported varied experiences with the times the </w:t>
      </w:r>
      <w:r w:rsidR="001F652E" w:rsidRPr="00BD472F">
        <w:rPr>
          <w:rFonts w:eastAsia="Times New Roman"/>
          <w:color w:val="000000" w:themeColor="text1"/>
        </w:rPr>
        <w:t>EMAs</w:t>
      </w:r>
      <w:r w:rsidRPr="00BD472F">
        <w:rPr>
          <w:rFonts w:eastAsia="Times New Roman"/>
          <w:color w:val="000000" w:themeColor="text1"/>
        </w:rPr>
        <w:t xml:space="preserve"> were delivered, with some participants saying their </w:t>
      </w:r>
      <w:r w:rsidR="001F652E" w:rsidRPr="00BD472F">
        <w:rPr>
          <w:rFonts w:eastAsia="Times New Roman"/>
          <w:color w:val="000000" w:themeColor="text1"/>
        </w:rPr>
        <w:t>EMAs</w:t>
      </w:r>
      <w:r w:rsidRPr="00BD472F">
        <w:rPr>
          <w:rFonts w:eastAsia="Times New Roman"/>
          <w:color w:val="000000" w:themeColor="text1"/>
        </w:rPr>
        <w:t xml:space="preserve"> were delivered at consistent times each day, while others </w:t>
      </w:r>
      <w:r w:rsidR="007F1B63" w:rsidRPr="00BD472F">
        <w:rPr>
          <w:rFonts w:eastAsia="Times New Roman"/>
          <w:color w:val="000000" w:themeColor="text1"/>
        </w:rPr>
        <w:t xml:space="preserve">said </w:t>
      </w:r>
      <w:r w:rsidRPr="00BD472F">
        <w:rPr>
          <w:rFonts w:eastAsia="Times New Roman"/>
          <w:color w:val="000000" w:themeColor="text1"/>
        </w:rPr>
        <w:t xml:space="preserve">the opposite. For those who did report receiving their </w:t>
      </w:r>
      <w:r w:rsidR="001F652E" w:rsidRPr="00BD472F">
        <w:rPr>
          <w:rFonts w:eastAsia="Times New Roman"/>
          <w:color w:val="000000" w:themeColor="text1"/>
        </w:rPr>
        <w:t xml:space="preserve">EMAs </w:t>
      </w:r>
      <w:r w:rsidRPr="00BD472F">
        <w:rPr>
          <w:rFonts w:eastAsia="Times New Roman"/>
          <w:color w:val="000000" w:themeColor="text1"/>
        </w:rPr>
        <w:t xml:space="preserve">at the same time each day, they found this beneficial as it allowed them to anticipate </w:t>
      </w:r>
      <w:r w:rsidR="001F652E" w:rsidRPr="00BD472F">
        <w:rPr>
          <w:rFonts w:eastAsia="Times New Roman"/>
          <w:color w:val="000000" w:themeColor="text1"/>
        </w:rPr>
        <w:t>EMA</w:t>
      </w:r>
      <w:r w:rsidRPr="00BD472F">
        <w:rPr>
          <w:rFonts w:eastAsia="Times New Roman"/>
          <w:color w:val="000000" w:themeColor="text1"/>
        </w:rPr>
        <w:t xml:space="preserve"> arrival and plan their days accordingly. Among these participants, some said that this predictability helped combat procrastination with their meditation practice, as well as fostered a habit of timely </w:t>
      </w:r>
      <w:r w:rsidR="001F652E" w:rsidRPr="00BD472F">
        <w:rPr>
          <w:rFonts w:eastAsia="Times New Roman"/>
          <w:color w:val="000000" w:themeColor="text1"/>
        </w:rPr>
        <w:t xml:space="preserve">EMA </w:t>
      </w:r>
      <w:r w:rsidRPr="00BD472F">
        <w:rPr>
          <w:rFonts w:eastAsia="Times New Roman"/>
          <w:color w:val="000000" w:themeColor="text1"/>
        </w:rPr>
        <w:t xml:space="preserve">completion. For participants who reported inconsistent </w:t>
      </w:r>
      <w:r w:rsidR="001F652E" w:rsidRPr="00BD472F">
        <w:rPr>
          <w:rFonts w:eastAsia="Times New Roman"/>
          <w:color w:val="000000" w:themeColor="text1"/>
        </w:rPr>
        <w:t xml:space="preserve">EMA </w:t>
      </w:r>
      <w:r w:rsidRPr="00BD472F">
        <w:rPr>
          <w:rFonts w:eastAsia="Times New Roman"/>
          <w:color w:val="000000" w:themeColor="text1"/>
        </w:rPr>
        <w:t xml:space="preserve">delivery, they noted this inconsistency disrupted their daily schedules with one participant feeling the need to “wait around” for the </w:t>
      </w:r>
      <w:r w:rsidR="001F652E" w:rsidRPr="00BD472F">
        <w:rPr>
          <w:rFonts w:eastAsia="Times New Roman"/>
          <w:color w:val="000000" w:themeColor="text1"/>
        </w:rPr>
        <w:t>EMA</w:t>
      </w:r>
      <w:r w:rsidRPr="00BD472F">
        <w:rPr>
          <w:rFonts w:eastAsia="Times New Roman"/>
          <w:color w:val="000000" w:themeColor="text1"/>
        </w:rPr>
        <w:t xml:space="preserve"> to arrive before engaging in other tasks.</w:t>
      </w:r>
    </w:p>
    <w:p w14:paraId="49FA0C20" w14:textId="77777777" w:rsidR="00562FC3" w:rsidRPr="00BD472F" w:rsidRDefault="00B26494" w:rsidP="00F765C7">
      <w:pPr>
        <w:pStyle w:val="Heading3"/>
        <w:rPr>
          <w:rFonts w:eastAsia="Times New Roman"/>
        </w:rPr>
      </w:pPr>
      <w:r w:rsidRPr="00BD472F">
        <w:rPr>
          <w:rFonts w:eastAsia="Times New Roman"/>
        </w:rPr>
        <w:t>Survey Content and Understanding</w:t>
      </w:r>
    </w:p>
    <w:p w14:paraId="3E80D395" w14:textId="77777777" w:rsidR="00562FC3" w:rsidRPr="00BD472F" w:rsidRDefault="00B26494" w:rsidP="00562FC3">
      <w:pPr>
        <w:spacing w:line="480" w:lineRule="auto"/>
        <w:ind w:firstLine="720"/>
        <w:rPr>
          <w:rFonts w:eastAsia="Times New Roman"/>
          <w:color w:val="000000" w:themeColor="text1"/>
        </w:rPr>
      </w:pPr>
      <w:r w:rsidRPr="00BD472F">
        <w:rPr>
          <w:rFonts w:eastAsia="Times New Roman"/>
          <w:color w:val="000000" w:themeColor="text1"/>
        </w:rPr>
        <w:t>The third theme, Survey Content and Understanding, includes understanding, or lack</w:t>
      </w:r>
      <w:r w:rsidR="00562FC3" w:rsidRPr="00BD472F">
        <w:rPr>
          <w:rFonts w:eastAsia="Times New Roman"/>
          <w:color w:val="000000" w:themeColor="text1"/>
        </w:rPr>
        <w:t xml:space="preserve"> </w:t>
      </w:r>
    </w:p>
    <w:p w14:paraId="0D17B960" w14:textId="0B91A78F" w:rsidR="00B26494" w:rsidRPr="00BD472F" w:rsidRDefault="00B26494" w:rsidP="00562FC3">
      <w:pPr>
        <w:spacing w:line="480" w:lineRule="auto"/>
      </w:pPr>
      <w:r w:rsidRPr="00BD472F">
        <w:rPr>
          <w:rFonts w:eastAsia="Times New Roman"/>
          <w:color w:val="000000" w:themeColor="text1"/>
        </w:rPr>
        <w:t xml:space="preserve">thereof, of the </w:t>
      </w:r>
      <w:r w:rsidR="00E239A1" w:rsidRPr="00BD472F">
        <w:rPr>
          <w:rFonts w:eastAsia="Times New Roman"/>
          <w:color w:val="000000" w:themeColor="text1"/>
        </w:rPr>
        <w:t>EMA</w:t>
      </w:r>
      <w:r w:rsidRPr="00BD472F">
        <w:rPr>
          <w:rFonts w:eastAsia="Times New Roman"/>
          <w:color w:val="000000" w:themeColor="text1"/>
        </w:rPr>
        <w:t xml:space="preserve"> content and how that reportedly informed </w:t>
      </w:r>
      <w:r w:rsidR="00E239A1" w:rsidRPr="00BD472F">
        <w:rPr>
          <w:rFonts w:eastAsia="Times New Roman"/>
          <w:color w:val="000000" w:themeColor="text1"/>
        </w:rPr>
        <w:t>participant</w:t>
      </w:r>
      <w:r w:rsidRPr="00BD472F">
        <w:rPr>
          <w:rFonts w:eastAsia="Times New Roman"/>
          <w:color w:val="000000" w:themeColor="text1"/>
        </w:rPr>
        <w:t xml:space="preserve"> responses</w:t>
      </w:r>
      <w:r w:rsidR="00B54F7D" w:rsidRPr="00BD472F">
        <w:t>.</w:t>
      </w:r>
      <w:r w:rsidR="00562FC3" w:rsidRPr="00BD472F">
        <w:t xml:space="preserve"> </w:t>
      </w:r>
      <w:r w:rsidR="00E239A1" w:rsidRPr="00BD472F">
        <w:t>S</w:t>
      </w:r>
      <w:r w:rsidRPr="00BD472F">
        <w:t xml:space="preserve">ome participants felt that </w:t>
      </w:r>
      <w:r w:rsidR="00E239A1" w:rsidRPr="00BD472F">
        <w:t>the EMA</w:t>
      </w:r>
      <w:r w:rsidRPr="00BD472F">
        <w:t xml:space="preserve"> design and item structure made it straightforward and easy to </w:t>
      </w:r>
      <w:r w:rsidR="00E239A1" w:rsidRPr="00BD472F">
        <w:t xml:space="preserve">understand and </w:t>
      </w:r>
      <w:r w:rsidRPr="00BD472F">
        <w:t xml:space="preserve">complete. </w:t>
      </w:r>
      <w:r w:rsidR="00E239A1" w:rsidRPr="00BD472F">
        <w:t xml:space="preserve">Several </w:t>
      </w:r>
      <w:r w:rsidRPr="00BD472F">
        <w:t>participants mentioned that th</w:t>
      </w:r>
      <w:r w:rsidR="00E239A1" w:rsidRPr="00BD472F">
        <w:t>e EMAs being identical throughout the study</w:t>
      </w:r>
      <w:r w:rsidRPr="00BD472F">
        <w:t xml:space="preserve"> was beneficial, as developing familiarity with the survey questions over time facilitated faster completion and reduced their cognitive load. </w:t>
      </w:r>
      <w:r w:rsidR="00E239A1" w:rsidRPr="00BD472F">
        <w:t>For some, this</w:t>
      </w:r>
      <w:r w:rsidRPr="00BD472F">
        <w:t xml:space="preserve"> repeated exposure prompted deeper reflection</w:t>
      </w:r>
      <w:r w:rsidR="00E239A1" w:rsidRPr="00BD472F">
        <w:t>, noting that</w:t>
      </w:r>
      <w:r w:rsidRPr="00BD472F">
        <w:t xml:space="preserve"> knowing the </w:t>
      </w:r>
      <w:r w:rsidR="00E239A1" w:rsidRPr="00BD472F">
        <w:t>EMA</w:t>
      </w:r>
      <w:r w:rsidRPr="00BD472F">
        <w:t xml:space="preserve"> content in advance encouraged them to be more mindful during their meditation practice and of their thoughts, feelings, and behaviors. On the other hand, one participant felt this repetition was fatiguing and compounded the cognitive demands of interpreting unclear questions. For another participant, </w:t>
      </w:r>
      <w:r w:rsidRPr="00BD472F">
        <w:lastRenderedPageBreak/>
        <w:t xml:space="preserve">the surveys amplified feelings of stress and unhappiness. During the last week of the study, this participant experienced a stressful life event and explained that completing the surveys reminded them of how anxious, depressed, and unhappy they felt, </w:t>
      </w:r>
      <w:r w:rsidR="00E239A1" w:rsidRPr="00BD472F">
        <w:t>leading</w:t>
      </w:r>
      <w:r w:rsidRPr="00BD472F">
        <w:t xml:space="preserve"> them to dwell on negative emotions and heighten their emotional distress as a result.</w:t>
      </w:r>
    </w:p>
    <w:p w14:paraId="336C09D8" w14:textId="40725673" w:rsidR="00B26494" w:rsidRPr="00BD472F" w:rsidRDefault="00B26494" w:rsidP="00AE2D3C">
      <w:pPr>
        <w:pStyle w:val="NoSpacing"/>
        <w:spacing w:line="480" w:lineRule="auto"/>
        <w:ind w:firstLine="720"/>
      </w:pPr>
      <w:r w:rsidRPr="00BD472F">
        <w:t>While each survey item was thoroughly explained during the onboarding phone call to ensure participant understanding, several participants reported confusion about certain items</w:t>
      </w:r>
      <w:r w:rsidR="00E239A1" w:rsidRPr="00BD472F">
        <w:t xml:space="preserve">. </w:t>
      </w:r>
      <w:r w:rsidRPr="00BD472F">
        <w:t xml:space="preserve">The lack of clarity then left these participants unsure of how to interpret the survey questions and respond to them appropriately. For example, one participant was unclear whether the surveys were asking about feelings experienced during meditation or while completing the survey itself, despite each item asking about “the last 15 minutes.” Other participants found the Likert scale response options inadequate for capturing their feelings. Another participant felt pressured to choose an answer even when the item’s meaning was unclear, suggesting a “Does Not Apply” option </w:t>
      </w:r>
      <w:r w:rsidR="00E239A1" w:rsidRPr="00BD472F">
        <w:t xml:space="preserve">may </w:t>
      </w:r>
      <w:r w:rsidRPr="00BD472F">
        <w:t>be added for greater flexibility.</w:t>
      </w:r>
    </w:p>
    <w:p w14:paraId="337C33BC" w14:textId="3E61E13A" w:rsidR="006E7103" w:rsidRPr="00BD472F" w:rsidRDefault="006E7103" w:rsidP="00F765C7">
      <w:pPr>
        <w:pStyle w:val="Heading2"/>
      </w:pPr>
      <w:r w:rsidRPr="00BD472F">
        <w:t>Discussion</w:t>
      </w:r>
    </w:p>
    <w:p w14:paraId="0C46CBA7" w14:textId="709A1B99" w:rsidR="00CE5108" w:rsidRPr="00BD472F" w:rsidRDefault="00CE5108" w:rsidP="006E7103">
      <w:pPr>
        <w:spacing w:line="480" w:lineRule="auto"/>
      </w:pPr>
      <w:r w:rsidRPr="00BD472F">
        <w:rPr>
          <w:b/>
          <w:bCs/>
        </w:rPr>
        <w:tab/>
      </w:r>
      <w:r w:rsidRPr="00BD472F">
        <w:t xml:space="preserve">The current study investigated the feasibility, acceptability, and preliminary impact of manipulating meditation practice dosage in a </w:t>
      </w:r>
      <w:proofErr w:type="gramStart"/>
      <w:r w:rsidRPr="00BD472F">
        <w:t>fully-remote</w:t>
      </w:r>
      <w:proofErr w:type="gramEnd"/>
      <w:r w:rsidRPr="00BD472F">
        <w:t xml:space="preserve"> clinical trial testing a meditation app (HMP) for adults with clinically elevated depression and/or anxiety. </w:t>
      </w:r>
      <w:r w:rsidR="004B259A" w:rsidRPr="00BD472F">
        <w:t xml:space="preserve">In addition to establishing feasibility and acceptability in this population, this study adds to the literature by investigating effects on </w:t>
      </w:r>
      <w:r w:rsidR="007F1B63" w:rsidRPr="00BD472F">
        <w:t xml:space="preserve">psychological distress measured via </w:t>
      </w:r>
      <w:r w:rsidR="004B259A" w:rsidRPr="00BD472F">
        <w:t>retrospective self-report measures and EMA, which can provide a complementary perspective (Moore et al., 2016; Webb et al., 202</w:t>
      </w:r>
      <w:r w:rsidR="00780C1F" w:rsidRPr="00BD472F">
        <w:t>5</w:t>
      </w:r>
      <w:r w:rsidR="004B259A" w:rsidRPr="00BD472F">
        <w:t>) potentially more sensitive to the momentary effects of meditation practice dosage (Levi et al., 2021).</w:t>
      </w:r>
    </w:p>
    <w:p w14:paraId="4B4BFC3A" w14:textId="31DD33EA" w:rsidR="00005F43" w:rsidRPr="00BD472F" w:rsidRDefault="00C26CF5" w:rsidP="00131537">
      <w:pPr>
        <w:spacing w:line="480" w:lineRule="auto"/>
      </w:pPr>
      <w:r w:rsidRPr="00BD472F">
        <w:lastRenderedPageBreak/>
        <w:tab/>
      </w:r>
      <w:proofErr w:type="gramStart"/>
      <w:r w:rsidRPr="00BD472F">
        <w:t>On the whole</w:t>
      </w:r>
      <w:proofErr w:type="gramEnd"/>
      <w:r w:rsidRPr="00BD472F">
        <w:t xml:space="preserve">, results provided strong evidence that meditation practice dosage can be manipulated as intended, alongside high rates of study and measure completion (including intensive EMA assessments). Participants in the high dosage condition (15-minutes per day) completed substantially more minutes of meditation practice than those in the low dosage condition (5-minutes per day; </w:t>
      </w:r>
      <w:r w:rsidRPr="00BD472F">
        <w:rPr>
          <w:i/>
          <w:iCs/>
        </w:rPr>
        <w:t xml:space="preserve">d </w:t>
      </w:r>
      <w:r w:rsidRPr="00BD472F">
        <w:t>= 0.90</w:t>
      </w:r>
      <w:r w:rsidR="007F1B63" w:rsidRPr="00BD472F">
        <w:t>,</w:t>
      </w:r>
      <w:r w:rsidR="00F74910" w:rsidRPr="00BD472F">
        <w:t xml:space="preserve"> difference of</w:t>
      </w:r>
      <w:r w:rsidR="007F1B63" w:rsidRPr="00BD472F">
        <w:t xml:space="preserve"> </w:t>
      </w:r>
      <w:r w:rsidR="00F74910" w:rsidRPr="00BD472F">
        <w:t>100.91</w:t>
      </w:r>
      <w:r w:rsidR="007F1B63" w:rsidRPr="00BD472F">
        <w:t xml:space="preserve"> minutes</w:t>
      </w:r>
      <w:r w:rsidRPr="00BD472F">
        <w:t>). Although the groups did not differ in the numbers of days the HMP app was used nor the number of activities completed in the app, the low dosage group completed numerically (but not statistically) more days (</w:t>
      </w:r>
      <w:r w:rsidRPr="00BD472F">
        <w:rPr>
          <w:i/>
          <w:iCs/>
        </w:rPr>
        <w:t xml:space="preserve">d </w:t>
      </w:r>
      <w:r w:rsidRPr="00BD472F">
        <w:t>= 0.34</w:t>
      </w:r>
      <w:r w:rsidR="007F1B63" w:rsidRPr="00BD472F">
        <w:t xml:space="preserve">, </w:t>
      </w:r>
      <w:r w:rsidR="00F74910" w:rsidRPr="00BD472F">
        <w:t>difference of 2.56</w:t>
      </w:r>
      <w:r w:rsidR="007F1B63" w:rsidRPr="00BD472F">
        <w:t xml:space="preserve"> days</w:t>
      </w:r>
      <w:r w:rsidRPr="00BD472F">
        <w:t>) and activities (</w:t>
      </w:r>
      <w:r w:rsidRPr="00BD472F">
        <w:rPr>
          <w:i/>
          <w:iCs/>
        </w:rPr>
        <w:t xml:space="preserve">d </w:t>
      </w:r>
      <w:r w:rsidRPr="00BD472F">
        <w:t>= 0.16</w:t>
      </w:r>
      <w:r w:rsidR="007F1B63" w:rsidRPr="00BD472F">
        <w:t xml:space="preserve">, </w:t>
      </w:r>
      <w:r w:rsidR="00F74910" w:rsidRPr="00BD472F">
        <w:t xml:space="preserve">difference of 6.22 </w:t>
      </w:r>
      <w:r w:rsidR="007F1B63" w:rsidRPr="00BD472F">
        <w:t>activities</w:t>
      </w:r>
      <w:r w:rsidRPr="00BD472F">
        <w:t>).</w:t>
      </w:r>
      <w:r w:rsidR="00481025" w:rsidRPr="00BD472F">
        <w:t xml:space="preserve"> </w:t>
      </w:r>
      <w:r w:rsidR="00370B4F" w:rsidRPr="00BD472F">
        <w:t>Qualitatively, participants in the low dosage group expressed more positive feedback regarding their time commitment than those in the high dosage group, but those in the high dosage group did not express discontent with their time commitment</w:t>
      </w:r>
      <w:r w:rsidR="00005F43" w:rsidRPr="00BD472F">
        <w:t xml:space="preserve">, suggesting a dosage-related facilitator for those in the low dosage group but the possible lack of a dosage-related </w:t>
      </w:r>
      <w:r w:rsidR="00005F43" w:rsidRPr="00BD472F">
        <w:rPr>
          <w:i/>
          <w:iCs/>
        </w:rPr>
        <w:t xml:space="preserve">barrier </w:t>
      </w:r>
      <w:r w:rsidR="00005F43" w:rsidRPr="00BD472F">
        <w:t>for those in the high dosage group.</w:t>
      </w:r>
      <w:r w:rsidRPr="00BD472F">
        <w:t xml:space="preserve"> In a larger sample, should this pattern of findings replicate, it may well appear that assignment to a higher dosage of daily meditation practice comes at some cost to days of use and/or activities completed. </w:t>
      </w:r>
    </w:p>
    <w:p w14:paraId="01E0304D" w14:textId="607E9D33" w:rsidR="00676FAB" w:rsidRPr="00BD472F" w:rsidRDefault="00C26CF5" w:rsidP="00562FC3">
      <w:pPr>
        <w:spacing w:line="480" w:lineRule="auto"/>
        <w:ind w:firstLine="720"/>
      </w:pPr>
      <w:r w:rsidRPr="00BD472F">
        <w:t>In addition, the sample overall fell short of preregistered metrics for adherence to daily dosages, with only a minority (41.3%) of participants complet</w:t>
      </w:r>
      <w:r w:rsidR="00F70FB9" w:rsidRPr="00BD472F">
        <w:t>ing</w:t>
      </w:r>
      <w:r w:rsidRPr="00BD472F">
        <w:t xml:space="preserve"> their assigned 5 or 15 minutes of practices on ≥50% of days. </w:t>
      </w:r>
      <w:r w:rsidR="00005F43" w:rsidRPr="00BD472F">
        <w:t>Qualitative results provide some insight into this finding with participants describing</w:t>
      </w:r>
      <w:r w:rsidR="00B04680" w:rsidRPr="00BD472F">
        <w:t xml:space="preserve"> schedule variations that impacted their ability to meditate from one day to the next.</w:t>
      </w:r>
      <w:r w:rsidR="00A25485" w:rsidRPr="00BD472F">
        <w:t xml:space="preserve"> This level of adherence was below our prespecified threshold (</w:t>
      </w:r>
      <w:r w:rsidR="00221E3B" w:rsidRPr="00BD472F">
        <w:t>7</w:t>
      </w:r>
      <w:r w:rsidR="00A25485" w:rsidRPr="00BD472F">
        <w:t>0%), yet it still reflects a substantial minority of participants adhering to the recommended dosage.</w:t>
      </w:r>
      <w:r w:rsidR="00481025" w:rsidRPr="00BD472F">
        <w:t xml:space="preserve"> </w:t>
      </w:r>
      <w:r w:rsidRPr="00BD472F">
        <w:t xml:space="preserve">While it may be possible to boost daily practice further using various motivational and habit formation strategies (e.g., incentives, </w:t>
      </w:r>
      <w:r w:rsidR="003A01E4" w:rsidRPr="00BD472F">
        <w:t>anchoring to other habitual behaviors</w:t>
      </w:r>
      <w:r w:rsidRPr="00BD472F">
        <w:t xml:space="preserve">; </w:t>
      </w:r>
      <w:r w:rsidR="003A01E4" w:rsidRPr="00BD472F">
        <w:t xml:space="preserve">Berardi et al., 2023; Stecher </w:t>
      </w:r>
      <w:r w:rsidRPr="00BD472F">
        <w:t>et al., 202</w:t>
      </w:r>
      <w:r w:rsidR="003A01E4" w:rsidRPr="00BD472F">
        <w:t>4</w:t>
      </w:r>
      <w:r w:rsidRPr="00BD472F">
        <w:t xml:space="preserve">), </w:t>
      </w:r>
      <w:r w:rsidRPr="00BD472F">
        <w:lastRenderedPageBreak/>
        <w:t>data from prior HMP trials suggests that the average participant completed meditation practices approximately 11 days out of a 28-day intervention period (39.2% of days; Hirshberg et al., 2022).</w:t>
      </w:r>
      <w:r w:rsidR="00F70FB9" w:rsidRPr="00BD472F">
        <w:t xml:space="preserve"> </w:t>
      </w:r>
      <w:r w:rsidR="00676FAB" w:rsidRPr="00BD472F">
        <w:t>Given the sustained beneficial effects observed in prior HMP trials (Goldberg et al., 2020; Hirshberg et al., 2022), it is an important empirical question what frequency of meditation practice and/or HMP app use is necessary to produce benefits</w:t>
      </w:r>
      <w:r w:rsidR="00B2454E" w:rsidRPr="00BD472F">
        <w:t xml:space="preserve"> (</w:t>
      </w:r>
      <w:r w:rsidR="00B47E33" w:rsidRPr="00BD472F">
        <w:t xml:space="preserve">Goldberg, 2022; </w:t>
      </w:r>
      <w:r w:rsidR="00B2454E" w:rsidRPr="00BD472F">
        <w:t>Goldberg et al., 2025)</w:t>
      </w:r>
      <w:r w:rsidR="00676FAB" w:rsidRPr="00BD472F">
        <w:t>.</w:t>
      </w:r>
      <w:r w:rsidR="00B04680" w:rsidRPr="00BD472F">
        <w:t xml:space="preserve"> For example, one participant qualitatively suggested weekly rather than daily meditation goals; future scholarship might explore whether that </w:t>
      </w:r>
      <w:r w:rsidR="00A25485" w:rsidRPr="00BD472F">
        <w:t>goal framing</w:t>
      </w:r>
      <w:r w:rsidR="00B04680" w:rsidRPr="00BD472F">
        <w:t xml:space="preserve"> facilitates adherence.</w:t>
      </w:r>
    </w:p>
    <w:p w14:paraId="231A65B6" w14:textId="738B99A9" w:rsidR="00370B4F" w:rsidRPr="00BD472F" w:rsidRDefault="00370B4F" w:rsidP="00562FC3">
      <w:pPr>
        <w:spacing w:line="480" w:lineRule="auto"/>
        <w:ind w:firstLine="720"/>
      </w:pPr>
      <w:r w:rsidRPr="00BD472F">
        <w:t>The qualitative results highlighted the importance of the onboarding call for clarifying study procedures. For some participants, the onboarding call was helpful for setting clear expectations about aspects of the study and for getting answers to questions they may have about study procedures. However, participant responses during the qualitative interview also highlight that despite having had an onboarding call to discuss study procedures, several participants remained surprised or confused about some aspects of the study. This highlights the reality that procedures that may seem straightforward or clearly communicated to study staff may nonetheless be confusing to some study participants. Future studies may implement follow-up phone calls to participants from study staff to check participants’ understanding of study procedures and make clarifications as needed. At once, despite some amount of confusion among some participants, quantitative metrics of feasibility and acceptability suggest that, on average, participants were able to adhere to study procedures and experienced the study and their assigned intervention as acceptable.</w:t>
      </w:r>
    </w:p>
    <w:p w14:paraId="1DF91239" w14:textId="4BA2B8C2" w:rsidR="00676FAB" w:rsidRPr="00BD472F" w:rsidRDefault="00676FAB" w:rsidP="00676FAB">
      <w:pPr>
        <w:spacing w:line="480" w:lineRule="auto"/>
      </w:pPr>
      <w:r w:rsidRPr="00BD472F">
        <w:tab/>
      </w:r>
      <w:r w:rsidR="004B6460" w:rsidRPr="00BD472F">
        <w:t>E</w:t>
      </w:r>
      <w:r w:rsidRPr="00BD472F">
        <w:t xml:space="preserve">xamination of the effect of manipulating practice dosage on psychological distress produced </w:t>
      </w:r>
      <w:r w:rsidR="005C1A6E" w:rsidRPr="00BD472F">
        <w:t>mixed</w:t>
      </w:r>
      <w:r w:rsidRPr="00BD472F">
        <w:t xml:space="preserve"> finding</w:t>
      </w:r>
      <w:r w:rsidR="00780C1F" w:rsidRPr="00BD472F">
        <w:t>s</w:t>
      </w:r>
      <w:r w:rsidRPr="00BD472F">
        <w:t xml:space="preserve">. On retrospective self-report, the high and low dosage groups did not differ statistically in their pre-post changes in psychological distress. Both groups showed </w:t>
      </w:r>
      <w:r w:rsidRPr="00BD472F">
        <w:lastRenderedPageBreak/>
        <w:t>substantial reductions in psychological distress, although, interestingly, the reduction was numerically larger for the low dosage group (</w:t>
      </w:r>
      <w:r w:rsidRPr="00BD472F">
        <w:rPr>
          <w:i/>
          <w:iCs/>
        </w:rPr>
        <w:t xml:space="preserve">d </w:t>
      </w:r>
      <w:r w:rsidRPr="00BD472F">
        <w:t>= 0.83) than the high dosage group (</w:t>
      </w:r>
      <w:r w:rsidRPr="00BD472F">
        <w:rPr>
          <w:i/>
          <w:iCs/>
        </w:rPr>
        <w:t xml:space="preserve">d </w:t>
      </w:r>
      <w:r w:rsidRPr="00BD472F">
        <w:t xml:space="preserve">= 0.63). EMA </w:t>
      </w:r>
      <w:r w:rsidR="00E2038B" w:rsidRPr="00BD472F">
        <w:t xml:space="preserve">findings were mixed. In linear multilevel models, only the low dosage group showed a significant reduction in EMA distress over time, although the time X group interaction indicated the high and low dosage groups did not show significantly different linear trajectories. In contrast, GAMMs that did not assume a linear trajectory found that the high dosage group showed larger reductions in EMA distress in the initial days of the study (days </w:t>
      </w:r>
      <w:r w:rsidR="00DF14CE" w:rsidRPr="00BD472F">
        <w:t>3-11</w:t>
      </w:r>
      <w:r w:rsidR="00E2038B" w:rsidRPr="00BD472F">
        <w:t>).</w:t>
      </w:r>
      <w:r w:rsidR="00B04680" w:rsidRPr="00BD472F">
        <w:t xml:space="preserve"> Qualitative findings add complexity to the interpretation of psychological distress such that some participants found engagement with the EMA assessments alone to be an added psychological benefit, while others described it as a detriment. These perspectives align with prior work demonstrating both the costs and benefits of self-monitoring procedures (Orji et al., 2018). It would be valuable for future studies to investigate directly the influence of self-monitoring on participants’ outcomes (e.g., by randomly assigning some participants to complete EMA assessments while others do not complete assessments) specifically in the context of a meditation app in which self-monitoring may well be perceived as a helpful complement to the meditation practices they are learning (e.g., supporting training awareness and other well-being skills in daily life; Dahl et al., 2020; Huberty, Green, et al., 2021). Eventually, implementation studies will be important to clarify when and who benefits from having self-monitoring included alongside existing </w:t>
      </w:r>
      <w:r w:rsidR="00DF3C60" w:rsidRPr="00BD472F">
        <w:t>content from HMP or another meditation app</w:t>
      </w:r>
      <w:r w:rsidR="00B04680" w:rsidRPr="00BD472F">
        <w:t xml:space="preserve">. Should EMA be implemented with </w:t>
      </w:r>
      <w:r w:rsidR="00DF3C60" w:rsidRPr="00BD472F">
        <w:t>HMP or another meditation app</w:t>
      </w:r>
      <w:r w:rsidR="00B04680" w:rsidRPr="00BD472F">
        <w:t xml:space="preserve"> outside of a research context, it may be important to provide participants with visualizations of their data alongside actionable information based on their responses, along with the option to turn such a feature off should they find it unhelpful (as </w:t>
      </w:r>
      <w:r w:rsidR="00B04680" w:rsidRPr="00BD472F">
        <w:lastRenderedPageBreak/>
        <w:t xml:space="preserve">some participants in the current study did). Existing apps that are primarily designed as self-monitoring tools can be helpful models for this (e.g., </w:t>
      </w:r>
      <w:proofErr w:type="spellStart"/>
      <w:r w:rsidR="00B04680" w:rsidRPr="00BD472F">
        <w:t>MoodPrism</w:t>
      </w:r>
      <w:proofErr w:type="spellEnd"/>
      <w:r w:rsidR="00B04680" w:rsidRPr="00BD472F">
        <w:t>; Bakker &amp; Rickard, 2018).</w:t>
      </w:r>
    </w:p>
    <w:p w14:paraId="736B9ACE" w14:textId="3F6F69BD" w:rsidR="00E2038B" w:rsidRPr="00BD472F" w:rsidRDefault="0061514C" w:rsidP="00E2038B">
      <w:pPr>
        <w:spacing w:line="480" w:lineRule="auto"/>
      </w:pPr>
      <w:r w:rsidRPr="00BD472F">
        <w:tab/>
      </w:r>
      <w:r w:rsidR="00E2038B" w:rsidRPr="00BD472F">
        <w:t>T</w:t>
      </w:r>
      <w:r w:rsidRPr="00BD472F">
        <w:t>he relatively small sample size (although power is increased with the repeated EMA assessments; Bolger &amp; Laurenceau, 2013) and the preliminary nature of these analyses (preregistered hypotheses focused on feasibility and acceptability, not between-group effects)</w:t>
      </w:r>
      <w:r w:rsidR="00E2038B" w:rsidRPr="00BD472F">
        <w:t xml:space="preserve"> make it premature to draw conclusions about whether high or low dosages of daily practice are most beneficial for beginning meditators.</w:t>
      </w:r>
      <w:r w:rsidRPr="00BD472F">
        <w:t xml:space="preserve"> </w:t>
      </w:r>
      <w:r w:rsidR="00E2038B" w:rsidRPr="00BD472F">
        <w:t xml:space="preserve">The direction of the pre-post results and the significant reductions over time on EMA in the low dosage (but not the high dosage) group suggest that less may be more, although related between-group tests were not significant. In contrast, the GAMM results suggest that higher doses may produce early benefits relative to lower doses. </w:t>
      </w:r>
      <w:r w:rsidR="00B2598C" w:rsidRPr="00BD472F">
        <w:t>One potential reason that individuals may benefit from both high and low dosages is that psychological benefits may be related to shifts in mindset</w:t>
      </w:r>
      <w:r w:rsidR="00FD60F0" w:rsidRPr="00BD472F">
        <w:t xml:space="preserve"> (</w:t>
      </w:r>
      <w:r w:rsidR="00A25485" w:rsidRPr="00BD472F">
        <w:t>Dweck, 2006</w:t>
      </w:r>
      <w:r w:rsidR="00FD60F0" w:rsidRPr="00BD472F">
        <w:t>)</w:t>
      </w:r>
      <w:r w:rsidR="00B2598C" w:rsidRPr="00BD472F">
        <w:t xml:space="preserve"> not solely related to mental habits that </w:t>
      </w:r>
      <w:r w:rsidR="00FD60F0" w:rsidRPr="00BD472F">
        <w:t xml:space="preserve">may </w:t>
      </w:r>
      <w:r w:rsidR="00B2598C" w:rsidRPr="00BD472F">
        <w:t>develop only with</w:t>
      </w:r>
      <w:r w:rsidR="00FD60F0" w:rsidRPr="00BD472F">
        <w:t xml:space="preserve"> repeated or intensive</w:t>
      </w:r>
      <w:r w:rsidR="00B2598C" w:rsidRPr="00BD472F">
        <w:t xml:space="preserve"> training</w:t>
      </w:r>
      <w:r w:rsidR="00FD60F0" w:rsidRPr="00BD472F">
        <w:t xml:space="preserve"> (e.g., attention regulation; </w:t>
      </w:r>
      <w:r w:rsidR="00A25485" w:rsidRPr="00BD472F">
        <w:t>Dahl et al., 2020</w:t>
      </w:r>
      <w:r w:rsidR="00FD60F0" w:rsidRPr="00BD472F">
        <w:t>). HMP includes content emphasizing the trainability of well-being (i.e., well-being growth mindset) that may produce benefits irrespective of practice dosage.</w:t>
      </w:r>
    </w:p>
    <w:p w14:paraId="7C4C0BF4" w14:textId="3107350C" w:rsidR="00131537" w:rsidRPr="00BD472F" w:rsidRDefault="00E2038B" w:rsidP="006E7103">
      <w:pPr>
        <w:spacing w:line="480" w:lineRule="auto"/>
      </w:pPr>
      <w:r w:rsidRPr="00BD472F">
        <w:tab/>
        <w:t>The current mixed findings along with mixed findings from</w:t>
      </w:r>
      <w:r w:rsidR="004B6B04" w:rsidRPr="00BD472F">
        <w:t xml:space="preserve"> eight</w:t>
      </w:r>
      <w:r w:rsidRPr="00BD472F">
        <w:t xml:space="preserve"> prior </w:t>
      </w:r>
      <w:r w:rsidR="004B6B04" w:rsidRPr="00BD472F">
        <w:t xml:space="preserve">randomized trials </w:t>
      </w:r>
      <w:r w:rsidR="00B6604B" w:rsidRPr="00BD472F">
        <w:t>experimentally manipula</w:t>
      </w:r>
      <w:r w:rsidRPr="00BD472F">
        <w:t>ting</w:t>
      </w:r>
      <w:r w:rsidR="00B6604B" w:rsidRPr="00BD472F">
        <w:t xml:space="preserve"> meditation dosage</w:t>
      </w:r>
      <w:r w:rsidR="004B6B04" w:rsidRPr="00BD472F">
        <w:t xml:space="preserve"> described in a recent meta-analysis</w:t>
      </w:r>
      <w:r w:rsidRPr="00BD472F">
        <w:t xml:space="preserve"> (</w:t>
      </w:r>
      <w:r w:rsidR="00E603D2">
        <w:t>Strohmaier et al., 2026</w:t>
      </w:r>
      <w:r w:rsidRPr="00BD472F">
        <w:t>)</w:t>
      </w:r>
      <w:r w:rsidR="00B6604B" w:rsidRPr="00BD472F">
        <w:t xml:space="preserve"> highlights the need for future work in this area. An ideal study will manipulate dosage in a very large sample, with participants assigned to a range of potential dosages (e.g., 5</w:t>
      </w:r>
      <w:r w:rsidR="004B6B04" w:rsidRPr="00BD472F">
        <w:t>,</w:t>
      </w:r>
      <w:r w:rsidR="00B6604B" w:rsidRPr="00BD472F">
        <w:t xml:space="preserve"> 10</w:t>
      </w:r>
      <w:r w:rsidR="004B6B04" w:rsidRPr="00BD472F">
        <w:t>,</w:t>
      </w:r>
      <w:r w:rsidR="00B6604B" w:rsidRPr="00BD472F">
        <w:t xml:space="preserve"> 15, 30 minutes</w:t>
      </w:r>
      <w:r w:rsidR="004B6B04" w:rsidRPr="00BD472F">
        <w:t>; with dosages assigned at the day or potentially week level</w:t>
      </w:r>
      <w:r w:rsidR="00B6604B" w:rsidRPr="00BD472F">
        <w:t xml:space="preserve">). Such a manipulation can help establish potential non-linear patterns between dosage and outcomes. The inclusion of both gold-standard retrospective self-report measures alongside EMA may be crucial for detecting the effects of meditation practice dosage. A large sample can also allow </w:t>
      </w:r>
      <w:r w:rsidR="00B6604B" w:rsidRPr="00BD472F">
        <w:lastRenderedPageBreak/>
        <w:t>examination of participant-level factors that may predict response to a particular dosage condition. Large samples are particularly helpful for the use of machine learning techniques which can allow evaluation of large sets of candidate predictors (</w:t>
      </w:r>
      <w:proofErr w:type="spellStart"/>
      <w:r w:rsidR="00B6604B" w:rsidRPr="00BD472F">
        <w:t>Zantvoort</w:t>
      </w:r>
      <w:proofErr w:type="spellEnd"/>
      <w:r w:rsidR="00B6604B" w:rsidRPr="00BD472F">
        <w:t xml:space="preserve"> et al., 2024</w:t>
      </w:r>
      <w:r w:rsidRPr="00BD472F">
        <w:t xml:space="preserve">; </w:t>
      </w:r>
      <w:r w:rsidR="00E603D2">
        <w:t>Simonsson et al., 2026</w:t>
      </w:r>
      <w:r w:rsidR="00B6604B" w:rsidRPr="00BD472F">
        <w:t>).</w:t>
      </w:r>
      <w:r w:rsidR="00C85673" w:rsidRPr="00BD472F">
        <w:t xml:space="preserve"> Ultimately, it may be important to investigate a variety of dosage operationalizations (e.g., manipulat</w:t>
      </w:r>
      <w:r w:rsidRPr="00BD472F">
        <w:t>ing</w:t>
      </w:r>
      <w:r w:rsidR="00C85673" w:rsidRPr="00BD472F">
        <w:t xml:space="preserve"> number of sessions per day, days per week, weeks of practice, etc.) given these may </w:t>
      </w:r>
      <w:r w:rsidRPr="00BD472F">
        <w:t>produce different effects</w:t>
      </w:r>
      <w:r w:rsidR="00C85673" w:rsidRPr="00BD472F">
        <w:t xml:space="preserve"> (Cox et al., 2024; Riordan et al., 2024).</w:t>
      </w:r>
    </w:p>
    <w:p w14:paraId="43023578" w14:textId="07BD17F0" w:rsidR="006E7103" w:rsidRPr="00BD472F" w:rsidRDefault="006E7103" w:rsidP="00F765C7">
      <w:pPr>
        <w:pStyle w:val="Heading3"/>
      </w:pPr>
      <w:r w:rsidRPr="00BD472F">
        <w:t>Limitations</w:t>
      </w:r>
    </w:p>
    <w:p w14:paraId="3BA375BC" w14:textId="0D646F1F" w:rsidR="00A276A4" w:rsidRPr="00BD472F" w:rsidRDefault="00A276A4" w:rsidP="006E7103">
      <w:pPr>
        <w:spacing w:line="480" w:lineRule="auto"/>
      </w:pPr>
      <w:r w:rsidRPr="00BD472F">
        <w:rPr>
          <w:b/>
          <w:bCs/>
        </w:rPr>
        <w:tab/>
      </w:r>
      <w:r w:rsidRPr="00BD472F">
        <w:t xml:space="preserve">There are several important limitations to consider when interpreting our findings. First, the study was designed primarily to establish feasibility and acceptability of study </w:t>
      </w:r>
      <w:r w:rsidR="00780C1F" w:rsidRPr="00BD472F">
        <w:t>procedures</w:t>
      </w:r>
      <w:r w:rsidRPr="00BD472F">
        <w:t xml:space="preserve"> and HMP in this population. The sample size </w:t>
      </w:r>
      <w:proofErr w:type="gramStart"/>
      <w:r w:rsidRPr="00BD472F">
        <w:t>in particular was</w:t>
      </w:r>
      <w:proofErr w:type="gramEnd"/>
      <w:r w:rsidRPr="00BD472F">
        <w:t xml:space="preserve"> not chosen to support adequately powered between-group analyses. Second, </w:t>
      </w:r>
      <w:r w:rsidR="00945F28" w:rsidRPr="00BD472F">
        <w:t>although participants were not compensated for their use of the HMP app, they were compensated for completing other study procedures, including EMA assessments. This m</w:t>
      </w:r>
      <w:r w:rsidR="00B6604B" w:rsidRPr="00BD472F">
        <w:t>ay limit the generalizability of study findings to non-research contexts</w:t>
      </w:r>
      <w:r w:rsidR="000601DF" w:rsidRPr="00BD472F">
        <w:t xml:space="preserve"> (see </w:t>
      </w:r>
      <w:r w:rsidR="00D85B09">
        <w:t xml:space="preserve">Dyer et al., </w:t>
      </w:r>
      <w:r w:rsidR="00377796">
        <w:t>2026</w:t>
      </w:r>
      <w:r w:rsidR="00780C1F" w:rsidRPr="00BD472F">
        <w:t>)</w:t>
      </w:r>
      <w:r w:rsidR="00B6604B" w:rsidRPr="00BD472F">
        <w:t xml:space="preserve">. It would be valuable for future studies to investigate the degree to which meditation practice dosage (or other aspects of dosage) can be manipulated outside the context of a research study and without the provision of compensation for study procedures. Third, the sample included participants with symptoms in the mild range (i.e., T-scores </w:t>
      </w:r>
      <w:r w:rsidR="00856842" w:rsidRPr="00BD472F">
        <w:t>&gt;</w:t>
      </w:r>
      <w:r w:rsidR="00B6604B" w:rsidRPr="00BD472F">
        <w:t>55)</w:t>
      </w:r>
      <w:r w:rsidR="00AE5091" w:rsidRPr="00BD472F">
        <w:t xml:space="preserve"> and those with limited prior meditation experience</w:t>
      </w:r>
      <w:r w:rsidR="00B6604B" w:rsidRPr="00BD472F">
        <w:t>, which may limit the generalizability of results to individuals with diagnoses of depressive and anxiety disorders.</w:t>
      </w:r>
      <w:r w:rsidR="00F71A89" w:rsidRPr="00BD472F">
        <w:t xml:space="preserve"> </w:t>
      </w:r>
      <w:r w:rsidR="00177A42" w:rsidRPr="00BD472F">
        <w:t>Fourth</w:t>
      </w:r>
      <w:r w:rsidR="00F71A89" w:rsidRPr="00BD472F">
        <w:t xml:space="preserve">, the sample did not reflect the general U.S. population </w:t>
      </w:r>
      <w:proofErr w:type="gramStart"/>
      <w:r w:rsidR="00F71A89" w:rsidRPr="00BD472F">
        <w:t>in regard to</w:t>
      </w:r>
      <w:proofErr w:type="gramEnd"/>
      <w:r w:rsidR="00F71A89" w:rsidRPr="00BD472F">
        <w:t xml:space="preserve"> gender, race/ethnicity, or education, which may also limit generalizability.</w:t>
      </w:r>
      <w:r w:rsidR="00BB0F0E" w:rsidRPr="00BD472F">
        <w:t xml:space="preserve"> Fifth, given the lack of established benchmarks for evaluating feasibility and acceptability (Avery et al., 2017), the current benchmarks were, to some extent, arbitrarily defined. Different benchmarks may have resulted in different conclusions regarding feasibility </w:t>
      </w:r>
      <w:r w:rsidR="00BB0F0E" w:rsidRPr="00BD472F">
        <w:lastRenderedPageBreak/>
        <w:t>and acceptability.</w:t>
      </w:r>
      <w:r w:rsidR="00177A42" w:rsidRPr="00BD472F">
        <w:t xml:space="preserve"> Lastly, the lack of a control condition not receiving HMP makes it impossible to rule out regression to the mean, placebo effects, or other confounds that may have produced reductions in psychological distress. </w:t>
      </w:r>
    </w:p>
    <w:p w14:paraId="24C887BB" w14:textId="1255B5E0" w:rsidR="006E7103" w:rsidRPr="00BD472F" w:rsidRDefault="006E7103" w:rsidP="00F765C7">
      <w:pPr>
        <w:pStyle w:val="Heading3"/>
      </w:pPr>
      <w:r w:rsidRPr="00BD472F">
        <w:t>Conclusion</w:t>
      </w:r>
    </w:p>
    <w:p w14:paraId="14F70A4B" w14:textId="2C65E9B9" w:rsidR="00251711" w:rsidRPr="00BD472F" w:rsidRDefault="00251711" w:rsidP="006E7103">
      <w:pPr>
        <w:spacing w:line="480" w:lineRule="auto"/>
      </w:pPr>
      <w:r w:rsidRPr="00BD472F">
        <w:rPr>
          <w:b/>
          <w:bCs/>
        </w:rPr>
        <w:tab/>
      </w:r>
      <w:r w:rsidRPr="00BD472F">
        <w:t>Results from the current study add to the literature supporting the viability of meditation apps as a scalable tool for reducing the public health burden of depression and anxiety. Our results specifically support the feasibility and acceptability of manipulating meditation practice dosage in this population.</w:t>
      </w:r>
      <w:r w:rsidR="00E728DF" w:rsidRPr="00BD472F">
        <w:t xml:space="preserve"> </w:t>
      </w:r>
      <w:r w:rsidR="004B6460" w:rsidRPr="00BD472F">
        <w:t>B</w:t>
      </w:r>
      <w:r w:rsidR="00E728DF" w:rsidRPr="00BD472F">
        <w:t>etween-group analyses</w:t>
      </w:r>
      <w:r w:rsidR="00856842" w:rsidRPr="00BD472F">
        <w:t xml:space="preserve"> provided mixed results related to the impact of dosage on changes in distress</w:t>
      </w:r>
      <w:r w:rsidR="00E728DF" w:rsidRPr="00BD472F">
        <w:t>.</w:t>
      </w:r>
      <w:r w:rsidR="004103CE" w:rsidRPr="00BD472F">
        <w:t xml:space="preserve"> Future large-scale dosage trials are needed to clarify definitively the impact of various meditation practice dosages and for whom and when a particular practice dosage is most beneficial.</w:t>
      </w:r>
    </w:p>
    <w:p w14:paraId="5EA816B0" w14:textId="717B3B85" w:rsidR="001565DF" w:rsidRPr="00BD472F" w:rsidRDefault="00D605BD" w:rsidP="00F765C7">
      <w:pPr>
        <w:pStyle w:val="Heading2"/>
      </w:pPr>
      <w:r w:rsidRPr="00BD472F">
        <w:t>References</w:t>
      </w:r>
    </w:p>
    <w:p w14:paraId="4EB6E2E7" w14:textId="77777777" w:rsidR="0055142D" w:rsidRPr="00BD472F" w:rsidRDefault="0055142D" w:rsidP="00E9535A">
      <w:pPr>
        <w:spacing w:line="480" w:lineRule="auto"/>
      </w:pPr>
      <w:r w:rsidRPr="00BD472F">
        <w:t xml:space="preserve">Avery, K. N., Williamson, P. R., Gamble, C., O'Connell Francischetto, E., Metcalfe, C., </w:t>
      </w:r>
    </w:p>
    <w:p w14:paraId="27883AC8" w14:textId="77777777" w:rsidR="0055142D" w:rsidRPr="00BD472F" w:rsidRDefault="0055142D" w:rsidP="0055142D">
      <w:pPr>
        <w:spacing w:line="480" w:lineRule="auto"/>
        <w:ind w:firstLine="720"/>
      </w:pPr>
      <w:r w:rsidRPr="00BD472F">
        <w:t xml:space="preserve">Davidson, P., ... &amp; Internal Pilot Trials Workshop supported by the Hubs for Trials </w:t>
      </w:r>
    </w:p>
    <w:p w14:paraId="496A08B2" w14:textId="77777777" w:rsidR="0055142D" w:rsidRPr="00BD472F" w:rsidRDefault="0055142D" w:rsidP="0055142D">
      <w:pPr>
        <w:spacing w:line="480" w:lineRule="auto"/>
        <w:ind w:firstLine="720"/>
      </w:pPr>
      <w:r w:rsidRPr="00BD472F">
        <w:t xml:space="preserve">Methodology Research. (2017). Informing efficient randomised controlled trials: </w:t>
      </w:r>
    </w:p>
    <w:p w14:paraId="0F799F57" w14:textId="77777777" w:rsidR="0055142D" w:rsidRPr="00BD472F" w:rsidRDefault="0055142D" w:rsidP="0055142D">
      <w:pPr>
        <w:spacing w:line="480" w:lineRule="auto"/>
        <w:ind w:firstLine="720"/>
      </w:pPr>
      <w:r w:rsidRPr="00BD472F">
        <w:t xml:space="preserve">exploration of challenges in developing progression criteria for internal pilot studies. </w:t>
      </w:r>
    </w:p>
    <w:p w14:paraId="22D22C3D" w14:textId="278E0C46" w:rsidR="0055142D" w:rsidRPr="00BD472F" w:rsidRDefault="0055142D" w:rsidP="00562FC3">
      <w:pPr>
        <w:spacing w:line="480" w:lineRule="auto"/>
        <w:ind w:firstLine="720"/>
        <w:rPr>
          <w:lang w:val="de-DE"/>
        </w:rPr>
      </w:pPr>
      <w:r w:rsidRPr="00BD472F">
        <w:rPr>
          <w:i/>
          <w:iCs/>
          <w:lang w:val="de-DE"/>
        </w:rPr>
        <w:t>BMJ Open, 7</w:t>
      </w:r>
      <w:r w:rsidRPr="00BD472F">
        <w:rPr>
          <w:lang w:val="de-DE"/>
        </w:rPr>
        <w:t>(2), e013537.</w:t>
      </w:r>
    </w:p>
    <w:p w14:paraId="4D86B57A" w14:textId="47299F54" w:rsidR="000638E3" w:rsidRPr="00BD472F" w:rsidRDefault="000638E3" w:rsidP="00E9535A">
      <w:pPr>
        <w:spacing w:line="480" w:lineRule="auto"/>
      </w:pPr>
      <w:r w:rsidRPr="00BD472F">
        <w:rPr>
          <w:lang w:val="de-DE"/>
        </w:rPr>
        <w:t xml:space="preserve">Bakker, D., &amp; Rickard, N. (2018). </w:t>
      </w:r>
      <w:r w:rsidRPr="00BD472F">
        <w:t xml:space="preserve">Engagement in mobile phone app for self-monitoring of </w:t>
      </w:r>
    </w:p>
    <w:p w14:paraId="73041FDB" w14:textId="77777777" w:rsidR="000638E3" w:rsidRPr="00BD472F" w:rsidRDefault="000638E3" w:rsidP="000638E3">
      <w:pPr>
        <w:spacing w:line="480" w:lineRule="auto"/>
        <w:ind w:firstLine="720"/>
        <w:rPr>
          <w:i/>
          <w:iCs/>
        </w:rPr>
      </w:pPr>
      <w:r w:rsidRPr="00BD472F">
        <w:t xml:space="preserve">emotional wellbeing predicts changes in mental health: </w:t>
      </w:r>
      <w:proofErr w:type="spellStart"/>
      <w:r w:rsidRPr="00BD472F">
        <w:t>MoodPrism</w:t>
      </w:r>
      <w:proofErr w:type="spellEnd"/>
      <w:r w:rsidRPr="00BD472F">
        <w:t xml:space="preserve">. </w:t>
      </w:r>
      <w:r w:rsidRPr="00BD472F">
        <w:rPr>
          <w:i/>
          <w:iCs/>
        </w:rPr>
        <w:t xml:space="preserve">Journal of Affective </w:t>
      </w:r>
    </w:p>
    <w:p w14:paraId="58E52A42" w14:textId="43ECEB1A" w:rsidR="000638E3" w:rsidRPr="00BD472F" w:rsidRDefault="000638E3" w:rsidP="000638E3">
      <w:pPr>
        <w:spacing w:line="480" w:lineRule="auto"/>
        <w:ind w:firstLine="720"/>
      </w:pPr>
      <w:r w:rsidRPr="00BD472F">
        <w:rPr>
          <w:i/>
          <w:iCs/>
        </w:rPr>
        <w:t>Disorders, 227</w:t>
      </w:r>
      <w:r w:rsidRPr="00BD472F">
        <w:t>, 432-442.</w:t>
      </w:r>
    </w:p>
    <w:p w14:paraId="7B9910E5" w14:textId="1F4944E8" w:rsidR="008A7E81" w:rsidRPr="00BD472F" w:rsidRDefault="008A7E81" w:rsidP="00E9535A">
      <w:pPr>
        <w:spacing w:line="480" w:lineRule="auto"/>
      </w:pPr>
      <w:r w:rsidRPr="00BD472F">
        <w:t xml:space="preserve">Bangor, A., Kortum, P. T., &amp; Miller, J. T. (2008). An empirical evaluation of the system usability </w:t>
      </w:r>
    </w:p>
    <w:p w14:paraId="108E725E" w14:textId="51A32A42" w:rsidR="008A7E81" w:rsidRPr="00BD472F" w:rsidRDefault="008A7E81" w:rsidP="008A7E81">
      <w:pPr>
        <w:spacing w:line="480" w:lineRule="auto"/>
        <w:ind w:firstLine="720"/>
      </w:pPr>
      <w:r w:rsidRPr="00BD472F">
        <w:t xml:space="preserve">scale. </w:t>
      </w:r>
      <w:r w:rsidRPr="00BD472F">
        <w:rPr>
          <w:i/>
          <w:iCs/>
        </w:rPr>
        <w:t>International Journal of Human–Computer Interaction, 24</w:t>
      </w:r>
      <w:r w:rsidRPr="00BD472F">
        <w:t>(6), 574-594.</w:t>
      </w:r>
    </w:p>
    <w:p w14:paraId="00D359CB" w14:textId="77777777" w:rsidR="004902D2" w:rsidRPr="00BD472F" w:rsidRDefault="004902D2" w:rsidP="00E9535A">
      <w:pPr>
        <w:spacing w:line="480" w:lineRule="auto"/>
      </w:pPr>
      <w:r w:rsidRPr="00BD472F">
        <w:rPr>
          <w:lang w:val="de-DE"/>
        </w:rPr>
        <w:t xml:space="preserve">Bates, D., Mächler, M., Bolker, B., &amp; Walker, S. (2015). </w:t>
      </w:r>
      <w:r w:rsidRPr="00BD472F">
        <w:t xml:space="preserve">Fitting Linear mixed-effects models </w:t>
      </w:r>
    </w:p>
    <w:p w14:paraId="78B503EB" w14:textId="3EA5FC78" w:rsidR="004902D2" w:rsidRPr="00BD472F" w:rsidRDefault="004902D2" w:rsidP="004B6460">
      <w:pPr>
        <w:spacing w:line="480" w:lineRule="auto"/>
        <w:ind w:firstLine="720"/>
      </w:pPr>
      <w:r w:rsidRPr="00BD472F">
        <w:lastRenderedPageBreak/>
        <w:t xml:space="preserve">using lme4. </w:t>
      </w:r>
      <w:r w:rsidRPr="00BD472F">
        <w:rPr>
          <w:i/>
          <w:iCs/>
        </w:rPr>
        <w:t>Journal of Statistical Software, 67</w:t>
      </w:r>
      <w:r w:rsidRPr="00BD472F">
        <w:t>(1), 1-48. doi:10.18637/</w:t>
      </w:r>
      <w:proofErr w:type="gramStart"/>
      <w:r w:rsidRPr="00BD472F">
        <w:t>jss.v067.i</w:t>
      </w:r>
      <w:proofErr w:type="gramEnd"/>
      <w:r w:rsidRPr="00BD472F">
        <w:t>01</w:t>
      </w:r>
    </w:p>
    <w:p w14:paraId="0486BC6B" w14:textId="047ADE76" w:rsidR="00447C3F" w:rsidRPr="00BD472F" w:rsidRDefault="00447C3F" w:rsidP="00E9535A">
      <w:pPr>
        <w:spacing w:line="480" w:lineRule="auto"/>
      </w:pPr>
      <w:r w:rsidRPr="00BD472F">
        <w:rPr>
          <w:lang w:val="de-DE"/>
        </w:rPr>
        <w:t xml:space="preserve">Berardi, V., Fowers, R., Rubin, G., &amp; Stecher, C. (2023). </w:t>
      </w:r>
      <w:r w:rsidRPr="00BD472F">
        <w:t xml:space="preserve">Time of day preferences and daily </w:t>
      </w:r>
    </w:p>
    <w:p w14:paraId="00F447EF" w14:textId="77777777" w:rsidR="00447C3F" w:rsidRPr="00BD472F" w:rsidRDefault="00447C3F" w:rsidP="00447C3F">
      <w:pPr>
        <w:spacing w:line="480" w:lineRule="auto"/>
        <w:ind w:firstLine="720"/>
      </w:pPr>
      <w:r w:rsidRPr="00BD472F">
        <w:t xml:space="preserve">temporal consistency for predicting the sustained use of a commercial meditation app: </w:t>
      </w:r>
    </w:p>
    <w:p w14:paraId="545DFBAD" w14:textId="3FF6FA7C" w:rsidR="00447C3F" w:rsidRPr="00BD472F" w:rsidRDefault="00447C3F" w:rsidP="00447C3F">
      <w:pPr>
        <w:spacing w:line="480" w:lineRule="auto"/>
        <w:ind w:left="720"/>
      </w:pPr>
      <w:r w:rsidRPr="00BD472F">
        <w:t xml:space="preserve">Longitudinal observational study. </w:t>
      </w:r>
      <w:r w:rsidRPr="00BD472F">
        <w:rPr>
          <w:i/>
          <w:iCs/>
        </w:rPr>
        <w:t>Journal of Medical Internet Research, 25</w:t>
      </w:r>
      <w:r w:rsidRPr="00BD472F">
        <w:t>(1), e42482.</w:t>
      </w:r>
    </w:p>
    <w:p w14:paraId="329F4B55" w14:textId="4702E026" w:rsidR="00E601E1" w:rsidRPr="00BD472F" w:rsidRDefault="00E601E1" w:rsidP="00E9535A">
      <w:pPr>
        <w:spacing w:line="480" w:lineRule="auto"/>
        <w:rPr>
          <w:i/>
          <w:iCs/>
        </w:rPr>
      </w:pPr>
      <w:r w:rsidRPr="00BD472F">
        <w:rPr>
          <w:lang w:val="de-DE"/>
        </w:rPr>
        <w:t xml:space="preserve">Bolger, N., &amp; Laurenceau, J. P. (2013). </w:t>
      </w:r>
      <w:r w:rsidRPr="00BD472F">
        <w:rPr>
          <w:i/>
          <w:iCs/>
        </w:rPr>
        <w:t xml:space="preserve">Intensive longitudinal methods: An introduction to diary </w:t>
      </w:r>
    </w:p>
    <w:p w14:paraId="7EF84A53" w14:textId="1ED0281B" w:rsidR="00E601E1" w:rsidRPr="00BD472F" w:rsidRDefault="00E601E1" w:rsidP="00E601E1">
      <w:pPr>
        <w:spacing w:line="480" w:lineRule="auto"/>
        <w:ind w:firstLine="720"/>
      </w:pPr>
      <w:r w:rsidRPr="00BD472F">
        <w:rPr>
          <w:i/>
          <w:iCs/>
        </w:rPr>
        <w:t>and experience sampling research.</w:t>
      </w:r>
      <w:r w:rsidRPr="00BD472F">
        <w:t xml:space="preserve"> Guilford Press.</w:t>
      </w:r>
    </w:p>
    <w:p w14:paraId="140F0A64" w14:textId="77777777" w:rsidR="00734761" w:rsidRPr="00BD472F" w:rsidRDefault="00734761" w:rsidP="00E9535A">
      <w:pPr>
        <w:spacing w:line="480" w:lineRule="auto"/>
      </w:pPr>
      <w:r w:rsidRPr="00BD472F">
        <w:t xml:space="preserve">Bradley, K. A., </w:t>
      </w:r>
      <w:proofErr w:type="spellStart"/>
      <w:r w:rsidRPr="00BD472F">
        <w:t>DeBenedetti</w:t>
      </w:r>
      <w:proofErr w:type="spellEnd"/>
      <w:r w:rsidRPr="00BD472F">
        <w:t xml:space="preserve">, A. F., Volk, R. J., Williams, E. C., Frank, D., &amp; </w:t>
      </w:r>
      <w:proofErr w:type="spellStart"/>
      <w:r w:rsidRPr="00BD472F">
        <w:t>Kivlahan</w:t>
      </w:r>
      <w:proofErr w:type="spellEnd"/>
      <w:r w:rsidRPr="00BD472F">
        <w:t xml:space="preserve">, D. R. </w:t>
      </w:r>
    </w:p>
    <w:p w14:paraId="60C9B8FB" w14:textId="77777777" w:rsidR="00734761" w:rsidRPr="00BD472F" w:rsidRDefault="00734761" w:rsidP="00734761">
      <w:pPr>
        <w:spacing w:line="480" w:lineRule="auto"/>
        <w:ind w:firstLine="720"/>
        <w:rPr>
          <w:i/>
          <w:iCs/>
        </w:rPr>
      </w:pPr>
      <w:r w:rsidRPr="00BD472F">
        <w:t xml:space="preserve">(2007). AUDIT‐C as a brief screen for alcohol misuse in primary care. </w:t>
      </w:r>
      <w:r w:rsidRPr="00BD472F">
        <w:rPr>
          <w:i/>
          <w:iCs/>
        </w:rPr>
        <w:t xml:space="preserve">Alcoholism: </w:t>
      </w:r>
    </w:p>
    <w:p w14:paraId="07E45510" w14:textId="200E546E" w:rsidR="00734761" w:rsidRPr="00BD472F" w:rsidRDefault="00734761" w:rsidP="00734761">
      <w:pPr>
        <w:spacing w:line="480" w:lineRule="auto"/>
        <w:ind w:firstLine="720"/>
      </w:pPr>
      <w:r w:rsidRPr="00BD472F">
        <w:rPr>
          <w:i/>
          <w:iCs/>
        </w:rPr>
        <w:t>Clinical and Experimental Research, 31</w:t>
      </w:r>
      <w:r w:rsidRPr="00BD472F">
        <w:t>(7), 1208-1217.</w:t>
      </w:r>
    </w:p>
    <w:p w14:paraId="5FF8A30F" w14:textId="77777777" w:rsidR="00175961" w:rsidRPr="00BD472F" w:rsidRDefault="00175961" w:rsidP="00E9535A">
      <w:pPr>
        <w:spacing w:line="480" w:lineRule="auto"/>
        <w:rPr>
          <w:i/>
          <w:iCs/>
        </w:rPr>
      </w:pPr>
      <w:r w:rsidRPr="00BD472F">
        <w:t xml:space="preserve">Britton, W. B., Lindahl, J. R., &amp; Cooper, D. J. (2018). </w:t>
      </w:r>
      <w:r w:rsidRPr="00BD472F">
        <w:rPr>
          <w:i/>
          <w:iCs/>
        </w:rPr>
        <w:t xml:space="preserve">Meditation-Related Adverse Effects Scale, </w:t>
      </w:r>
    </w:p>
    <w:p w14:paraId="5B825D78" w14:textId="33F1D802" w:rsidR="00175961" w:rsidRPr="00BD472F" w:rsidRDefault="00175961" w:rsidP="00175961">
      <w:pPr>
        <w:spacing w:line="480" w:lineRule="auto"/>
        <w:ind w:firstLine="720"/>
      </w:pPr>
      <w:r w:rsidRPr="00BD472F">
        <w:rPr>
          <w:i/>
          <w:iCs/>
        </w:rPr>
        <w:t>Mindfulness-Based Program version (MRAES-MBP).</w:t>
      </w:r>
      <w:r w:rsidRPr="00BD472F">
        <w:t xml:space="preserve"> Brown University.</w:t>
      </w:r>
    </w:p>
    <w:p w14:paraId="3C56C1D0" w14:textId="77777777" w:rsidR="004B6460" w:rsidRPr="00BD472F" w:rsidRDefault="004B6460" w:rsidP="00E9535A">
      <w:pPr>
        <w:spacing w:line="480" w:lineRule="auto"/>
        <w:rPr>
          <w:i/>
          <w:iCs/>
        </w:rPr>
      </w:pPr>
      <w:r w:rsidRPr="00BD472F">
        <w:t xml:space="preserve">Bürkner, P. (2017). brms: An R Package for Bayesian Multilevel Models Using Stan. </w:t>
      </w:r>
      <w:r w:rsidRPr="00BD472F">
        <w:rPr>
          <w:i/>
          <w:iCs/>
        </w:rPr>
        <w:t xml:space="preserve">Journal of </w:t>
      </w:r>
    </w:p>
    <w:p w14:paraId="134C45B8" w14:textId="7E0FB9C5" w:rsidR="004B6460" w:rsidRPr="00BD472F" w:rsidRDefault="004B6460" w:rsidP="00695DBD">
      <w:pPr>
        <w:spacing w:line="480" w:lineRule="auto"/>
        <w:ind w:firstLine="720"/>
      </w:pPr>
      <w:r w:rsidRPr="00BD472F">
        <w:rPr>
          <w:i/>
          <w:iCs/>
        </w:rPr>
        <w:t>Statistical Software, 80</w:t>
      </w:r>
      <w:r w:rsidRPr="00BD472F">
        <w:t>(1), 1-28. doi:10.18637/</w:t>
      </w:r>
      <w:proofErr w:type="gramStart"/>
      <w:r w:rsidRPr="00BD472F">
        <w:t>jss.v080.i</w:t>
      </w:r>
      <w:proofErr w:type="gramEnd"/>
      <w:r w:rsidRPr="00BD472F">
        <w:t>01</w:t>
      </w:r>
    </w:p>
    <w:p w14:paraId="589E1402" w14:textId="64B1C7D6" w:rsidR="00693C61" w:rsidRPr="00BD472F" w:rsidRDefault="00693C61" w:rsidP="00E9535A">
      <w:pPr>
        <w:spacing w:line="480" w:lineRule="auto"/>
      </w:pPr>
      <w:r w:rsidRPr="00BD472F">
        <w:t xml:space="preserve">Caspi, A., Houts, R.M., Belsky, D.W., Goldman-Mellor, S.J., Harrington, H.L., Israel, </w:t>
      </w:r>
      <w:proofErr w:type="gramStart"/>
      <w:r w:rsidRPr="00BD472F">
        <w:t>S.,...</w:t>
      </w:r>
      <w:proofErr w:type="gramEnd"/>
      <w:r w:rsidRPr="00BD472F">
        <w:t xml:space="preserve">&amp; </w:t>
      </w:r>
    </w:p>
    <w:p w14:paraId="18DEFDCC" w14:textId="77777777" w:rsidR="00693C61" w:rsidRPr="00BD472F" w:rsidRDefault="00693C61" w:rsidP="00693C61">
      <w:pPr>
        <w:spacing w:line="480" w:lineRule="auto"/>
        <w:ind w:firstLine="720"/>
      </w:pPr>
      <w:r w:rsidRPr="00BD472F">
        <w:t xml:space="preserve">Moffitt, T.E. (2014). The p factor: One general psychopathology factor in the structure of </w:t>
      </w:r>
    </w:p>
    <w:p w14:paraId="5255B263" w14:textId="77777777" w:rsidR="00693C61" w:rsidRPr="00BD472F" w:rsidRDefault="00693C61" w:rsidP="00693C61">
      <w:pPr>
        <w:spacing w:line="480" w:lineRule="auto"/>
        <w:ind w:firstLine="720"/>
      </w:pPr>
      <w:r w:rsidRPr="00BD472F">
        <w:t xml:space="preserve">psychiatric disorders? </w:t>
      </w:r>
      <w:r w:rsidRPr="00BD472F">
        <w:rPr>
          <w:i/>
          <w:iCs/>
        </w:rPr>
        <w:t>Clinical Psychological Science, 2</w:t>
      </w:r>
      <w:r w:rsidRPr="00BD472F">
        <w:t xml:space="preserve">(2), 119-137. </w:t>
      </w:r>
    </w:p>
    <w:p w14:paraId="02EF826B" w14:textId="0691ABA9" w:rsidR="001565DF" w:rsidRPr="00BD472F" w:rsidRDefault="001565DF" w:rsidP="00E9535A">
      <w:pPr>
        <w:spacing w:line="480" w:lineRule="auto"/>
      </w:pPr>
      <w:r w:rsidRPr="00BD472F">
        <w:t xml:space="preserve">Cearns, M., &amp; Clark, S. R. (2023). The effects of dose, practice habits, and objects of focus on </w:t>
      </w:r>
    </w:p>
    <w:p w14:paraId="56E12CDC" w14:textId="77777777" w:rsidR="001565DF" w:rsidRPr="00BD472F" w:rsidRDefault="001565DF" w:rsidP="001565DF">
      <w:pPr>
        <w:spacing w:line="480" w:lineRule="auto"/>
        <w:ind w:firstLine="720"/>
      </w:pPr>
      <w:r w:rsidRPr="00BD472F">
        <w:t xml:space="preserve">digital meditation effectiveness and adherence: longitudinal study of 280,000 digital </w:t>
      </w:r>
    </w:p>
    <w:p w14:paraId="11BA70E4" w14:textId="77777777" w:rsidR="001565DF" w:rsidRPr="00BD472F" w:rsidRDefault="001565DF" w:rsidP="001565DF">
      <w:pPr>
        <w:spacing w:line="480" w:lineRule="auto"/>
        <w:ind w:firstLine="720"/>
      </w:pPr>
      <w:r w:rsidRPr="00BD472F">
        <w:t xml:space="preserve">meditation sessions across 103 countries. </w:t>
      </w:r>
      <w:r w:rsidRPr="00BD472F">
        <w:rPr>
          <w:i/>
          <w:iCs/>
        </w:rPr>
        <w:t>Journal of Medical Internet Research, 25</w:t>
      </w:r>
      <w:r w:rsidRPr="00BD472F">
        <w:t xml:space="preserve">, </w:t>
      </w:r>
    </w:p>
    <w:p w14:paraId="71FAF1A6" w14:textId="1782D88E" w:rsidR="001565DF" w:rsidRPr="00BD472F" w:rsidRDefault="001565DF" w:rsidP="001565DF">
      <w:pPr>
        <w:spacing w:line="480" w:lineRule="auto"/>
        <w:ind w:firstLine="720"/>
      </w:pPr>
      <w:r w:rsidRPr="00BD472F">
        <w:t>e43358.</w:t>
      </w:r>
    </w:p>
    <w:p w14:paraId="550A03BD" w14:textId="77777777" w:rsidR="00CB0E1D" w:rsidRPr="00BD472F" w:rsidRDefault="00CB0E1D" w:rsidP="00E9535A">
      <w:pPr>
        <w:spacing w:line="480" w:lineRule="auto"/>
      </w:pPr>
      <w:r w:rsidRPr="00BD472F">
        <w:t xml:space="preserve">Cella, D., Choi, S., Garcia, S., Cook, K. F., Rosenbloom, S., Lai, J. S., ... &amp; Gershon, R. (2014). </w:t>
      </w:r>
    </w:p>
    <w:p w14:paraId="7D2EA5F8" w14:textId="77777777" w:rsidR="00CB0E1D" w:rsidRPr="00BD472F" w:rsidRDefault="00CB0E1D" w:rsidP="00CB0E1D">
      <w:pPr>
        <w:spacing w:line="480" w:lineRule="auto"/>
        <w:ind w:firstLine="720"/>
      </w:pPr>
      <w:r w:rsidRPr="00BD472F">
        <w:t xml:space="preserve">Setting standards for severity of common symptoms in oncology using the PROMIS item </w:t>
      </w:r>
    </w:p>
    <w:p w14:paraId="1C3875B4" w14:textId="7C3E4D76" w:rsidR="00CB0E1D" w:rsidRPr="00BD472F" w:rsidRDefault="00CB0E1D" w:rsidP="00CB0E1D">
      <w:pPr>
        <w:spacing w:line="480" w:lineRule="auto"/>
        <w:ind w:firstLine="720"/>
      </w:pPr>
      <w:r w:rsidRPr="00BD472F">
        <w:t xml:space="preserve">banks and expert judgment. </w:t>
      </w:r>
      <w:r w:rsidRPr="00BD472F">
        <w:rPr>
          <w:i/>
          <w:iCs/>
        </w:rPr>
        <w:t>Quality of Life Research, 23</w:t>
      </w:r>
      <w:r w:rsidRPr="00BD472F">
        <w:t>(10), 2651-2661.</w:t>
      </w:r>
    </w:p>
    <w:p w14:paraId="57FB35B5" w14:textId="77777777" w:rsidR="004D0CD4" w:rsidRPr="00BD472F" w:rsidRDefault="004D0CD4" w:rsidP="00E9535A">
      <w:pPr>
        <w:spacing w:line="480" w:lineRule="auto"/>
      </w:pPr>
      <w:r w:rsidRPr="00BD472F">
        <w:lastRenderedPageBreak/>
        <w:t xml:space="preserve">Choi, S. W., </w:t>
      </w:r>
      <w:proofErr w:type="spellStart"/>
      <w:r w:rsidRPr="00BD472F">
        <w:t>Schalet</w:t>
      </w:r>
      <w:proofErr w:type="spellEnd"/>
      <w:r w:rsidRPr="00BD472F">
        <w:t xml:space="preserve">, B., Cook, K. F., &amp; Cella, D. (2014). Establishing a common metric for </w:t>
      </w:r>
    </w:p>
    <w:p w14:paraId="0143D99F" w14:textId="77777777" w:rsidR="004D0CD4" w:rsidRPr="00BD472F" w:rsidRDefault="004D0CD4" w:rsidP="004D0CD4">
      <w:pPr>
        <w:spacing w:line="480" w:lineRule="auto"/>
        <w:ind w:firstLine="720"/>
      </w:pPr>
      <w:r w:rsidRPr="00BD472F">
        <w:t xml:space="preserve">depressive symptoms: Linking the BDI-II, CES-D, and PHQ-9 to PROMIS depression. </w:t>
      </w:r>
    </w:p>
    <w:p w14:paraId="3F1E8704" w14:textId="5B485724" w:rsidR="004D0CD4" w:rsidRPr="00BD472F" w:rsidRDefault="004D0CD4" w:rsidP="004D0CD4">
      <w:pPr>
        <w:spacing w:line="480" w:lineRule="auto"/>
        <w:ind w:firstLine="720"/>
      </w:pPr>
      <w:r w:rsidRPr="00BD472F">
        <w:rPr>
          <w:i/>
          <w:iCs/>
        </w:rPr>
        <w:t>Psychological Assessment, 26</w:t>
      </w:r>
      <w:r w:rsidRPr="00BD472F">
        <w:t>(2), 513-527.</w:t>
      </w:r>
    </w:p>
    <w:p w14:paraId="67183562" w14:textId="77777777" w:rsidR="008E2DF9" w:rsidRPr="00BD472F" w:rsidRDefault="008E2DF9" w:rsidP="00E9535A">
      <w:pPr>
        <w:spacing w:line="480" w:lineRule="auto"/>
      </w:pPr>
      <w:r w:rsidRPr="00BD472F">
        <w:t xml:space="preserve">Cox, C. E., Gallis, J. A., Olsen, M. K., Porter, L. S., Gremore, T., Greeson, J. M., ... &amp; Hough, C. </w:t>
      </w:r>
    </w:p>
    <w:p w14:paraId="696E6200" w14:textId="77777777" w:rsidR="008E2DF9" w:rsidRPr="00BD472F" w:rsidRDefault="008E2DF9" w:rsidP="008E2DF9">
      <w:pPr>
        <w:spacing w:line="480" w:lineRule="auto"/>
        <w:ind w:firstLine="720"/>
      </w:pPr>
      <w:r w:rsidRPr="00BD472F">
        <w:t xml:space="preserve">L. (2024). Mobile mindfulness intervention for psychological distress among intensive </w:t>
      </w:r>
    </w:p>
    <w:p w14:paraId="3FBBBB1B" w14:textId="77777777" w:rsidR="008E2DF9" w:rsidRPr="00BD472F" w:rsidRDefault="008E2DF9" w:rsidP="008E2DF9">
      <w:pPr>
        <w:spacing w:line="480" w:lineRule="auto"/>
        <w:ind w:firstLine="720"/>
      </w:pPr>
      <w:r w:rsidRPr="00BD472F">
        <w:t xml:space="preserve">care unit survivors: A randomized clinical trial. </w:t>
      </w:r>
      <w:r w:rsidRPr="00BD472F">
        <w:rPr>
          <w:i/>
          <w:iCs/>
        </w:rPr>
        <w:t>JAMA Internal Medicine, 184</w:t>
      </w:r>
      <w:r w:rsidRPr="00BD472F">
        <w:t>(7), 749-</w:t>
      </w:r>
    </w:p>
    <w:p w14:paraId="24CCFF4D" w14:textId="4AB292EF" w:rsidR="008E2DF9" w:rsidRPr="00BD472F" w:rsidRDefault="008E2DF9" w:rsidP="008E2DF9">
      <w:pPr>
        <w:spacing w:line="480" w:lineRule="auto"/>
        <w:ind w:firstLine="720"/>
      </w:pPr>
      <w:r w:rsidRPr="00BD472F">
        <w:t>759.</w:t>
      </w:r>
    </w:p>
    <w:p w14:paraId="730D5887" w14:textId="0B5A5DCC" w:rsidR="00DC5CCF" w:rsidRPr="00BD472F" w:rsidRDefault="00DC5CCF" w:rsidP="00E9535A">
      <w:pPr>
        <w:spacing w:line="480" w:lineRule="auto"/>
      </w:pPr>
      <w:r w:rsidRPr="00BD472F">
        <w:t xml:space="preserve">Crane, R. S., Brewer, J., Feldman, C., Kabat-Zinn, J., Santorelli, S., Williams, J. M. G., &amp; </w:t>
      </w:r>
    </w:p>
    <w:p w14:paraId="398E29F7" w14:textId="77777777" w:rsidR="00DC5CCF" w:rsidRPr="00BD472F" w:rsidRDefault="00DC5CCF" w:rsidP="00DC5CCF">
      <w:pPr>
        <w:spacing w:line="480" w:lineRule="auto"/>
        <w:ind w:firstLine="720"/>
      </w:pPr>
      <w:r w:rsidRPr="00BD472F">
        <w:t xml:space="preserve">Kuyken, W. (2017). What defines mindfulness-based programs? The warp and the weft. </w:t>
      </w:r>
    </w:p>
    <w:p w14:paraId="05D7EB2A" w14:textId="620A2083" w:rsidR="00DC5CCF" w:rsidRPr="00BD472F" w:rsidRDefault="00DC5CCF" w:rsidP="00DC5CCF">
      <w:pPr>
        <w:spacing w:line="480" w:lineRule="auto"/>
        <w:ind w:left="720"/>
      </w:pPr>
      <w:r w:rsidRPr="00BD472F">
        <w:rPr>
          <w:i/>
          <w:iCs/>
        </w:rPr>
        <w:t>Psychological Medicine, 47</w:t>
      </w:r>
      <w:r w:rsidRPr="00BD472F">
        <w:t>(6), 990-999.</w:t>
      </w:r>
    </w:p>
    <w:p w14:paraId="2E87B9C1" w14:textId="77777777" w:rsidR="00F5206D" w:rsidRPr="00BD472F" w:rsidRDefault="00F5206D" w:rsidP="00E9535A">
      <w:pPr>
        <w:spacing w:line="480" w:lineRule="auto"/>
        <w:rPr>
          <w:i/>
          <w:iCs/>
        </w:rPr>
      </w:pPr>
      <w:r w:rsidRPr="00BD472F">
        <w:t xml:space="preserve">Creswell, J. D., &amp; Goldberg, S. B. (in press). The meditation app revolution. </w:t>
      </w:r>
      <w:r w:rsidRPr="00BD472F">
        <w:rPr>
          <w:i/>
          <w:iCs/>
        </w:rPr>
        <w:t xml:space="preserve">American </w:t>
      </w:r>
    </w:p>
    <w:p w14:paraId="091D1B7F" w14:textId="4C0D1FBF" w:rsidR="00F5206D" w:rsidRPr="00BD472F" w:rsidRDefault="00F5206D" w:rsidP="00873178">
      <w:pPr>
        <w:spacing w:line="480" w:lineRule="auto"/>
        <w:ind w:firstLine="720"/>
        <w:rPr>
          <w:i/>
          <w:iCs/>
        </w:rPr>
      </w:pPr>
      <w:r w:rsidRPr="00BD472F">
        <w:rPr>
          <w:i/>
          <w:iCs/>
        </w:rPr>
        <w:t>Psychologist.</w:t>
      </w:r>
    </w:p>
    <w:p w14:paraId="3B4787F7" w14:textId="5CCB94EC" w:rsidR="00E10E48" w:rsidRPr="00BD472F" w:rsidRDefault="00E10E48" w:rsidP="00E9535A">
      <w:pPr>
        <w:spacing w:line="480" w:lineRule="auto"/>
      </w:pPr>
      <w:r w:rsidRPr="00BD472F">
        <w:t xml:space="preserve">Curran, P. J., West, S. G., &amp; Finch, J. F. (1996). The robustness of test statistics to nonnormality </w:t>
      </w:r>
    </w:p>
    <w:p w14:paraId="75DC3AF7" w14:textId="77777777" w:rsidR="00E10E48" w:rsidRPr="00BD472F" w:rsidRDefault="00E10E48" w:rsidP="00E10E48">
      <w:pPr>
        <w:spacing w:line="480" w:lineRule="auto"/>
        <w:ind w:firstLine="720"/>
        <w:rPr>
          <w:lang w:val="de-DE"/>
        </w:rPr>
      </w:pPr>
      <w:r w:rsidRPr="00BD472F">
        <w:t xml:space="preserve">and specification error in confirmatory factor analysis. </w:t>
      </w:r>
      <w:r w:rsidRPr="00BD472F">
        <w:rPr>
          <w:i/>
          <w:iCs/>
          <w:lang w:val="de-DE"/>
        </w:rPr>
        <w:t>Psychological Methods, 1</w:t>
      </w:r>
      <w:r w:rsidRPr="00BD472F">
        <w:rPr>
          <w:lang w:val="de-DE"/>
        </w:rPr>
        <w:t>(1), 16-</w:t>
      </w:r>
    </w:p>
    <w:p w14:paraId="3B0E5B63" w14:textId="4237E86B" w:rsidR="00E10E48" w:rsidRPr="00BD472F" w:rsidRDefault="00E10E48" w:rsidP="00E10E48">
      <w:pPr>
        <w:spacing w:line="480" w:lineRule="auto"/>
        <w:ind w:firstLine="720"/>
        <w:rPr>
          <w:lang w:val="de-DE"/>
        </w:rPr>
      </w:pPr>
      <w:r w:rsidRPr="00BD472F">
        <w:rPr>
          <w:lang w:val="de-DE"/>
        </w:rPr>
        <w:t>29.</w:t>
      </w:r>
    </w:p>
    <w:p w14:paraId="28CD5163" w14:textId="1F0C6F16" w:rsidR="008D42F1" w:rsidRPr="00BD472F" w:rsidRDefault="008D42F1" w:rsidP="00E9535A">
      <w:pPr>
        <w:spacing w:line="480" w:lineRule="auto"/>
      </w:pPr>
      <w:r w:rsidRPr="00BD472F">
        <w:rPr>
          <w:lang w:val="de-DE"/>
        </w:rPr>
        <w:t xml:space="preserve">Dahl, C. J., Wilson-Mendenhall, C. D., &amp; Davidson, R. J. (2020). </w:t>
      </w:r>
      <w:r w:rsidRPr="00BD472F">
        <w:t xml:space="preserve">The plasticity of well-being: A </w:t>
      </w:r>
    </w:p>
    <w:p w14:paraId="17EED94B" w14:textId="77777777" w:rsidR="008D42F1" w:rsidRPr="00BD472F" w:rsidRDefault="008D42F1" w:rsidP="008D42F1">
      <w:pPr>
        <w:spacing w:line="480" w:lineRule="auto"/>
        <w:ind w:firstLine="720"/>
        <w:rPr>
          <w:i/>
          <w:iCs/>
        </w:rPr>
      </w:pPr>
      <w:r w:rsidRPr="00BD472F">
        <w:t xml:space="preserve">training-based framework for the cultivation of human flourishing. </w:t>
      </w:r>
      <w:r w:rsidRPr="00BD472F">
        <w:rPr>
          <w:i/>
          <w:iCs/>
        </w:rPr>
        <w:t xml:space="preserve">Proceedings of the </w:t>
      </w:r>
    </w:p>
    <w:p w14:paraId="408C00AE" w14:textId="67B7F996" w:rsidR="008D42F1" w:rsidRPr="00BD472F" w:rsidRDefault="008D42F1" w:rsidP="008D42F1">
      <w:pPr>
        <w:spacing w:line="480" w:lineRule="auto"/>
        <w:ind w:firstLine="720"/>
      </w:pPr>
      <w:r w:rsidRPr="00BD472F">
        <w:rPr>
          <w:i/>
          <w:iCs/>
        </w:rPr>
        <w:t>National Academy of Sciences, 117</w:t>
      </w:r>
      <w:r w:rsidRPr="00BD472F">
        <w:t>(51), 32197-32206.</w:t>
      </w:r>
    </w:p>
    <w:p w14:paraId="70FD1C63" w14:textId="77777777" w:rsidR="00DF1B01" w:rsidRPr="00BD472F" w:rsidRDefault="00DF1B01" w:rsidP="00E9535A">
      <w:pPr>
        <w:spacing w:line="480" w:lineRule="auto"/>
      </w:pPr>
      <w:r w:rsidRPr="00BD472F">
        <w:t xml:space="preserve">Damschroder, L. J., Reardon, C. M., </w:t>
      </w:r>
      <w:proofErr w:type="spellStart"/>
      <w:r w:rsidRPr="00BD472F">
        <w:t>Widerquist</w:t>
      </w:r>
      <w:proofErr w:type="spellEnd"/>
      <w:r w:rsidRPr="00BD472F">
        <w:t xml:space="preserve">, M. A. O., &amp; Lowery, J. (2022). The updated </w:t>
      </w:r>
    </w:p>
    <w:p w14:paraId="0C76A30D" w14:textId="77777777" w:rsidR="00DF1B01" w:rsidRPr="00BD472F" w:rsidRDefault="00DF1B01" w:rsidP="00DF1B01">
      <w:pPr>
        <w:spacing w:line="480" w:lineRule="auto"/>
        <w:ind w:firstLine="720"/>
      </w:pPr>
      <w:r w:rsidRPr="00BD472F">
        <w:t xml:space="preserve">Consolidated Framework for Implementation Research based on user feedback. </w:t>
      </w:r>
    </w:p>
    <w:p w14:paraId="7E822AD4" w14:textId="1884DF55" w:rsidR="00DF1B01" w:rsidRPr="00BD472F" w:rsidRDefault="00DF1B01" w:rsidP="00DF1B01">
      <w:pPr>
        <w:spacing w:line="480" w:lineRule="auto"/>
        <w:ind w:firstLine="720"/>
      </w:pPr>
      <w:r w:rsidRPr="00BD472F">
        <w:rPr>
          <w:i/>
          <w:iCs/>
        </w:rPr>
        <w:t>Implementation Science, 17</w:t>
      </w:r>
      <w:r w:rsidRPr="00BD472F">
        <w:t>(1), 75.</w:t>
      </w:r>
    </w:p>
    <w:p w14:paraId="1936BC6F" w14:textId="09589C4B" w:rsidR="00A25485" w:rsidRPr="00BD472F" w:rsidRDefault="00A25485" w:rsidP="00E9535A">
      <w:pPr>
        <w:spacing w:line="480" w:lineRule="auto"/>
      </w:pPr>
      <w:r w:rsidRPr="00BD472F">
        <w:t xml:space="preserve">Dweck, C. S. (2006). </w:t>
      </w:r>
      <w:r w:rsidRPr="00BD472F">
        <w:rPr>
          <w:i/>
          <w:iCs/>
        </w:rPr>
        <w:t>Mindset: The new psychology of success</w:t>
      </w:r>
      <w:r w:rsidRPr="00BD472F">
        <w:t>. New York: Random House.</w:t>
      </w:r>
    </w:p>
    <w:p w14:paraId="2C3B5868" w14:textId="77777777" w:rsidR="00D85B09" w:rsidRPr="00467B9A" w:rsidRDefault="00D85B09" w:rsidP="00E9535A">
      <w:pPr>
        <w:spacing w:line="480" w:lineRule="auto"/>
        <w:rPr>
          <w:lang w:val="de-DE"/>
        </w:rPr>
      </w:pPr>
      <w:r w:rsidRPr="00467B9A">
        <w:rPr>
          <w:lang w:val="de-DE"/>
        </w:rPr>
        <w:t xml:space="preserve">Dyer, R. L., Zimmerman, K. M., Zhao, I., Xie, Q., Dahl, C. J., Quanbeck, A., &amp; Goldberg, S. B. </w:t>
      </w:r>
    </w:p>
    <w:p w14:paraId="63A77557" w14:textId="7BB5DCDD" w:rsidR="00D85B09" w:rsidRDefault="00D85B09" w:rsidP="00D85B09">
      <w:pPr>
        <w:spacing w:line="480" w:lineRule="auto"/>
        <w:ind w:firstLine="720"/>
      </w:pPr>
      <w:r w:rsidRPr="00D85B09">
        <w:lastRenderedPageBreak/>
        <w:t>(</w:t>
      </w:r>
      <w:r w:rsidR="00F631C7">
        <w:t>2026</w:t>
      </w:r>
      <w:r w:rsidRPr="00D85B09">
        <w:t xml:space="preserve">). Developing meditation practice in individuals with elevated psychological </w:t>
      </w:r>
    </w:p>
    <w:p w14:paraId="17E04E65" w14:textId="77777777" w:rsidR="00D85B09" w:rsidRDefault="00D85B09" w:rsidP="00D85B09">
      <w:pPr>
        <w:spacing w:line="480" w:lineRule="auto"/>
        <w:ind w:firstLine="720"/>
      </w:pPr>
      <w:r w:rsidRPr="00D85B09">
        <w:t xml:space="preserve">distress via a meditation app intervention: An implementation science-informed </w:t>
      </w:r>
    </w:p>
    <w:p w14:paraId="43398FC9" w14:textId="1C3004DD" w:rsidR="00D85B09" w:rsidRDefault="00D85B09" w:rsidP="00467B9A">
      <w:pPr>
        <w:spacing w:line="480" w:lineRule="auto"/>
        <w:ind w:left="720"/>
      </w:pPr>
      <w:r w:rsidRPr="00D85B09">
        <w:t xml:space="preserve">qualitative investigation of barriers and facilitators. </w:t>
      </w:r>
      <w:r w:rsidRPr="00467B9A">
        <w:rPr>
          <w:i/>
          <w:iCs/>
        </w:rPr>
        <w:t>Psychological Services</w:t>
      </w:r>
      <w:r w:rsidR="00F631C7">
        <w:rPr>
          <w:i/>
          <w:iCs/>
        </w:rPr>
        <w:t>, 23</w:t>
      </w:r>
      <w:r w:rsidR="00F631C7">
        <w:t>(3), 423-440</w:t>
      </w:r>
      <w:r w:rsidRPr="00F631C7">
        <w:t>.</w:t>
      </w:r>
      <w:r w:rsidR="00F631C7" w:rsidRPr="00467B9A">
        <w:t xml:space="preserve"> https://psycnet.apa.org/doi/10.1037/ser0000980</w:t>
      </w:r>
    </w:p>
    <w:p w14:paraId="1EAE11EA" w14:textId="129A4444" w:rsidR="00542487" w:rsidRPr="00BD472F" w:rsidRDefault="00542487" w:rsidP="00E9535A">
      <w:pPr>
        <w:spacing w:line="480" w:lineRule="auto"/>
        <w:rPr>
          <w:i/>
          <w:iCs/>
        </w:rPr>
      </w:pPr>
      <w:r w:rsidRPr="00BD472F">
        <w:t xml:space="preserve">Elo, S., &amp; Kyngäs, H. (2008). The qualitative content analysis process. </w:t>
      </w:r>
      <w:r w:rsidRPr="00BD472F">
        <w:rPr>
          <w:i/>
          <w:iCs/>
        </w:rPr>
        <w:t xml:space="preserve">Journal of Advanced </w:t>
      </w:r>
    </w:p>
    <w:p w14:paraId="6680040D" w14:textId="6FE77CDD" w:rsidR="00542487" w:rsidRPr="00BD472F" w:rsidRDefault="00542487" w:rsidP="00542487">
      <w:pPr>
        <w:spacing w:line="480" w:lineRule="auto"/>
        <w:ind w:firstLine="720"/>
      </w:pPr>
      <w:r w:rsidRPr="00BD472F">
        <w:rPr>
          <w:i/>
          <w:iCs/>
        </w:rPr>
        <w:t>Nursing, 62</w:t>
      </w:r>
      <w:r w:rsidRPr="00BD472F">
        <w:t>(1), 107-115.</w:t>
      </w:r>
    </w:p>
    <w:p w14:paraId="42E01B4D" w14:textId="77777777" w:rsidR="00B57CB9" w:rsidRPr="00BD472F" w:rsidRDefault="00B57CB9" w:rsidP="00E9535A">
      <w:pPr>
        <w:spacing w:line="480" w:lineRule="auto"/>
      </w:pPr>
      <w:r w:rsidRPr="00BD472F">
        <w:t xml:space="preserve">Fusch, P., Fusch, G. E., &amp; Ness, L. R. (2018). Denzin’s paradigm shift: Revisiting triangulation </w:t>
      </w:r>
    </w:p>
    <w:p w14:paraId="59CEAEBC" w14:textId="2864ECE0" w:rsidR="00B57CB9" w:rsidRPr="00BD472F" w:rsidRDefault="00B57CB9" w:rsidP="00B57CB9">
      <w:pPr>
        <w:spacing w:line="480" w:lineRule="auto"/>
        <w:ind w:firstLine="720"/>
      </w:pPr>
      <w:r w:rsidRPr="00BD472F">
        <w:t xml:space="preserve">in qualitative research. </w:t>
      </w:r>
      <w:r w:rsidRPr="00BD472F">
        <w:rPr>
          <w:i/>
          <w:iCs/>
        </w:rPr>
        <w:t>Journal of Sustainable Social Change, 10</w:t>
      </w:r>
      <w:r w:rsidRPr="00BD472F">
        <w:t>(1), 19-32.</w:t>
      </w:r>
    </w:p>
    <w:p w14:paraId="14A8F3F3" w14:textId="77777777" w:rsidR="00701B67" w:rsidRPr="00BD472F" w:rsidRDefault="00701B67" w:rsidP="00E9535A">
      <w:pPr>
        <w:spacing w:line="480" w:lineRule="auto"/>
      </w:pPr>
      <w:r w:rsidRPr="00BD472F">
        <w:t xml:space="preserve">Goldberg, S. B. (2022). A common factors perspective on mindfulness-based interventions. </w:t>
      </w:r>
    </w:p>
    <w:p w14:paraId="629E51EB" w14:textId="5A1938E8" w:rsidR="00701B67" w:rsidRPr="00BD472F" w:rsidRDefault="00701B67" w:rsidP="00701B67">
      <w:pPr>
        <w:spacing w:line="480" w:lineRule="auto"/>
        <w:ind w:firstLine="720"/>
      </w:pPr>
      <w:r w:rsidRPr="00BD472F">
        <w:rPr>
          <w:i/>
          <w:iCs/>
        </w:rPr>
        <w:t>Nature Reviews Psychology, 1</w:t>
      </w:r>
      <w:r w:rsidRPr="00BD472F">
        <w:t>, 605-619. doi: 10.1038/s44159-022-00090-8</w:t>
      </w:r>
    </w:p>
    <w:p w14:paraId="66989184" w14:textId="7631768F" w:rsidR="00752750" w:rsidRPr="00BD472F" w:rsidRDefault="00752750" w:rsidP="00E9535A">
      <w:pPr>
        <w:spacing w:line="480" w:lineRule="auto"/>
        <w:rPr>
          <w:lang w:val="de-DE"/>
        </w:rPr>
      </w:pPr>
      <w:r w:rsidRPr="00BD472F">
        <w:rPr>
          <w:lang w:val="de-DE"/>
        </w:rPr>
        <w:t xml:space="preserve">Goldberg, S. B., Imhoff-Smith, T., Bolt, D. M., Wilson-Mendenhall, C. D., Dahl, C. J., Davidson, </w:t>
      </w:r>
    </w:p>
    <w:p w14:paraId="301598A6" w14:textId="77777777" w:rsidR="00752750" w:rsidRPr="00BD472F" w:rsidRDefault="00752750" w:rsidP="00752750">
      <w:pPr>
        <w:spacing w:line="480" w:lineRule="auto"/>
        <w:ind w:firstLine="720"/>
      </w:pPr>
      <w:r w:rsidRPr="00BD472F">
        <w:rPr>
          <w:lang w:val="de-DE"/>
        </w:rPr>
        <w:t xml:space="preserve">R. J., &amp; Rosenkranz, M. A. (2020). </w:t>
      </w:r>
      <w:r w:rsidRPr="00BD472F">
        <w:t>Testing a multi-component, self-guided, smartphone-</w:t>
      </w:r>
    </w:p>
    <w:p w14:paraId="2A22378A" w14:textId="77777777" w:rsidR="00752750" w:rsidRPr="00BD472F" w:rsidRDefault="00752750" w:rsidP="00752750">
      <w:pPr>
        <w:spacing w:line="480" w:lineRule="auto"/>
        <w:ind w:firstLine="720"/>
        <w:rPr>
          <w:i/>
          <w:iCs/>
        </w:rPr>
      </w:pPr>
      <w:r w:rsidRPr="00BD472F">
        <w:t xml:space="preserve">based meditation app: Three-armed randomized controlled trial. </w:t>
      </w:r>
      <w:r w:rsidRPr="00BD472F">
        <w:rPr>
          <w:i/>
          <w:iCs/>
        </w:rPr>
        <w:t xml:space="preserve">JMIR Mental Health, </w:t>
      </w:r>
    </w:p>
    <w:p w14:paraId="0C6A25A7" w14:textId="478DE8A1" w:rsidR="00752750" w:rsidRPr="00BD472F" w:rsidRDefault="00752750" w:rsidP="00752750">
      <w:pPr>
        <w:spacing w:line="480" w:lineRule="auto"/>
        <w:ind w:firstLine="720"/>
      </w:pPr>
      <w:r w:rsidRPr="00BD472F">
        <w:rPr>
          <w:i/>
          <w:iCs/>
        </w:rPr>
        <w:t>7</w:t>
      </w:r>
      <w:r w:rsidRPr="00BD472F">
        <w:t>(11), e23825. doi: 10.2196/23825</w:t>
      </w:r>
    </w:p>
    <w:p w14:paraId="136C996E" w14:textId="6AD1C471" w:rsidR="001565DF" w:rsidRPr="00BD472F" w:rsidRDefault="001565DF" w:rsidP="00E9535A">
      <w:pPr>
        <w:spacing w:line="480" w:lineRule="auto"/>
        <w:rPr>
          <w:lang w:val="de-DE"/>
        </w:rPr>
      </w:pPr>
      <w:r w:rsidRPr="00BD472F">
        <w:rPr>
          <w:lang w:val="de-DE"/>
        </w:rPr>
        <w:t xml:space="preserve">Goldberg, S. B., Kendall, A. D., Hirshberg, M. J., Dahl, C. J., Nahum-Shani, I., Davidson, R. J., </w:t>
      </w:r>
    </w:p>
    <w:p w14:paraId="5C4CE0FB" w14:textId="77777777" w:rsidR="001565DF" w:rsidRPr="00BD472F" w:rsidRDefault="001565DF" w:rsidP="001565DF">
      <w:pPr>
        <w:spacing w:line="480" w:lineRule="auto"/>
        <w:ind w:firstLine="720"/>
      </w:pPr>
      <w:r w:rsidRPr="00BD472F">
        <w:t xml:space="preserve">&amp; Bray, B. C. (2025). Is dosage of a meditation app associated with changes in </w:t>
      </w:r>
    </w:p>
    <w:p w14:paraId="5045B180" w14:textId="77777777" w:rsidR="00E601E1" w:rsidRPr="00BD472F" w:rsidRDefault="001565DF" w:rsidP="001565DF">
      <w:pPr>
        <w:spacing w:line="480" w:lineRule="auto"/>
        <w:ind w:firstLine="720"/>
        <w:rPr>
          <w:i/>
          <w:iCs/>
        </w:rPr>
      </w:pPr>
      <w:r w:rsidRPr="00BD472F">
        <w:t xml:space="preserve">psychological distress? It depends on how you ask. </w:t>
      </w:r>
      <w:r w:rsidRPr="00BD472F">
        <w:rPr>
          <w:i/>
          <w:iCs/>
        </w:rPr>
        <w:t xml:space="preserve">Clinical Psychological Science, </w:t>
      </w:r>
    </w:p>
    <w:p w14:paraId="1321B59C" w14:textId="1CB75B69" w:rsidR="001565DF" w:rsidRPr="00BD472F" w:rsidRDefault="001565DF" w:rsidP="00E601E1">
      <w:pPr>
        <w:spacing w:line="480" w:lineRule="auto"/>
        <w:ind w:firstLine="720"/>
      </w:pPr>
      <w:r w:rsidRPr="00BD472F">
        <w:rPr>
          <w:i/>
          <w:iCs/>
        </w:rPr>
        <w:t>13</w:t>
      </w:r>
      <w:r w:rsidRPr="00BD472F">
        <w:t>(2), 332-349.</w:t>
      </w:r>
    </w:p>
    <w:p w14:paraId="15D50266" w14:textId="3889A23C" w:rsidR="00E9535A" w:rsidRPr="00BD472F" w:rsidRDefault="00E9535A" w:rsidP="00E9535A">
      <w:pPr>
        <w:spacing w:line="480" w:lineRule="auto"/>
      </w:pPr>
      <w:r w:rsidRPr="00BD472F">
        <w:t xml:space="preserve">Goldberg, S. B., Tucker, R. P., Greene, P. A., Davidson, R. J., Kearney, D. J., &amp; Simpson, </w:t>
      </w:r>
    </w:p>
    <w:p w14:paraId="1634B18F" w14:textId="77777777" w:rsidR="00E9535A" w:rsidRPr="00BD472F" w:rsidRDefault="00E9535A" w:rsidP="00E9535A">
      <w:pPr>
        <w:spacing w:line="480" w:lineRule="auto"/>
        <w:ind w:firstLine="720"/>
      </w:pPr>
      <w:r w:rsidRPr="00BD472F">
        <w:t xml:space="preserve">T.L. (2019). Mindfulness-based cognitive therapy for the treatment of current depressive </w:t>
      </w:r>
    </w:p>
    <w:p w14:paraId="706906BF" w14:textId="77777777" w:rsidR="00E9535A" w:rsidRPr="00BD472F" w:rsidRDefault="00E9535A" w:rsidP="00E9535A">
      <w:pPr>
        <w:spacing w:line="480" w:lineRule="auto"/>
        <w:ind w:firstLine="720"/>
      </w:pPr>
      <w:r w:rsidRPr="00BD472F">
        <w:t xml:space="preserve">symptoms: A meta-analysis. </w:t>
      </w:r>
      <w:r w:rsidRPr="00BD472F">
        <w:rPr>
          <w:i/>
          <w:iCs/>
        </w:rPr>
        <w:t>Cognitive Behaviour Therapy, 48</w:t>
      </w:r>
      <w:r w:rsidRPr="00BD472F">
        <w:t xml:space="preserve">(6), 445-462. </w:t>
      </w:r>
    </w:p>
    <w:p w14:paraId="5663D560" w14:textId="63B70146" w:rsidR="00072583" w:rsidRPr="00BD472F" w:rsidRDefault="00072583" w:rsidP="00C878C8">
      <w:pPr>
        <w:spacing w:line="480" w:lineRule="auto"/>
      </w:pPr>
      <w:r w:rsidRPr="00BD472F">
        <w:t xml:space="preserve">Goldberg, S.B., Tucker, R.P., Greene, P.A., Davidson, R.J., Wampold, B.E., Kearney, D.J., &amp; </w:t>
      </w:r>
    </w:p>
    <w:p w14:paraId="74C8CDEE" w14:textId="77777777" w:rsidR="00072583" w:rsidRPr="00BD472F" w:rsidRDefault="00072583" w:rsidP="00072583">
      <w:pPr>
        <w:spacing w:line="480" w:lineRule="auto"/>
        <w:ind w:firstLine="720"/>
      </w:pPr>
      <w:r w:rsidRPr="00BD472F">
        <w:t xml:space="preserve">Simpson, T.L. (2018). Mindfulness-based interventions for psychiatric disorders: A </w:t>
      </w:r>
    </w:p>
    <w:p w14:paraId="194E5FB7" w14:textId="77777777" w:rsidR="00072583" w:rsidRPr="00BD472F" w:rsidRDefault="00072583" w:rsidP="00072583">
      <w:pPr>
        <w:spacing w:line="480" w:lineRule="auto"/>
        <w:ind w:firstLine="720"/>
      </w:pPr>
      <w:r w:rsidRPr="00BD472F">
        <w:lastRenderedPageBreak/>
        <w:t xml:space="preserve">systematic review and meta-analysis. </w:t>
      </w:r>
      <w:r w:rsidRPr="00BD472F">
        <w:rPr>
          <w:i/>
          <w:iCs/>
        </w:rPr>
        <w:t>Clinical Psychology Review, 59</w:t>
      </w:r>
      <w:r w:rsidRPr="00BD472F">
        <w:t xml:space="preserve">, 52-60. </w:t>
      </w:r>
    </w:p>
    <w:p w14:paraId="06AB1194" w14:textId="77777777" w:rsidR="007B7552" w:rsidRPr="00BD472F" w:rsidRDefault="007B7552" w:rsidP="00C878C8">
      <w:pPr>
        <w:spacing w:line="480" w:lineRule="auto"/>
        <w:rPr>
          <w:i/>
          <w:iCs/>
        </w:rPr>
      </w:pPr>
      <w:r w:rsidRPr="00BD472F">
        <w:t xml:space="preserve">Graham, J. W. (2009). Missing data analysis: Making it work in the real world. </w:t>
      </w:r>
      <w:r w:rsidRPr="00BD472F">
        <w:rPr>
          <w:i/>
          <w:iCs/>
        </w:rPr>
        <w:t xml:space="preserve">Annual Review </w:t>
      </w:r>
    </w:p>
    <w:p w14:paraId="1D7A6BDE" w14:textId="1F2918D9" w:rsidR="007B7552" w:rsidRPr="00BD472F" w:rsidRDefault="007B7552" w:rsidP="007B7552">
      <w:pPr>
        <w:spacing w:line="480" w:lineRule="auto"/>
        <w:ind w:firstLine="720"/>
      </w:pPr>
      <w:r w:rsidRPr="00BD472F">
        <w:rPr>
          <w:i/>
          <w:iCs/>
        </w:rPr>
        <w:t>of Psychology, 60</w:t>
      </w:r>
      <w:r w:rsidRPr="00BD472F">
        <w:t>, 549-576.</w:t>
      </w:r>
    </w:p>
    <w:p w14:paraId="05C4757B" w14:textId="1DDC0A0E" w:rsidR="00C878C8" w:rsidRPr="00BD472F" w:rsidRDefault="00C878C8" w:rsidP="00C878C8">
      <w:pPr>
        <w:spacing w:line="480" w:lineRule="auto"/>
      </w:pPr>
      <w:r w:rsidRPr="00BD472F">
        <w:t xml:space="preserve">Greenberg, P. E., Fournier, A. A., Sisitsky, T., Simes, M., Berman, R., Koenigsberg, S. H., &amp; </w:t>
      </w:r>
    </w:p>
    <w:p w14:paraId="7145CB1B" w14:textId="77777777" w:rsidR="00C878C8" w:rsidRPr="00BD472F" w:rsidRDefault="00C878C8" w:rsidP="00C878C8">
      <w:pPr>
        <w:spacing w:line="480" w:lineRule="auto"/>
        <w:ind w:firstLine="720"/>
      </w:pPr>
      <w:r w:rsidRPr="00BD472F">
        <w:t xml:space="preserve">Kessler, R. C. (2021). The economic burden of adults with major depressive disorder in </w:t>
      </w:r>
    </w:p>
    <w:p w14:paraId="3D026072" w14:textId="5CDBA495" w:rsidR="00D605BD" w:rsidRPr="00BD472F" w:rsidRDefault="00C878C8" w:rsidP="00C878C8">
      <w:pPr>
        <w:spacing w:line="480" w:lineRule="auto"/>
        <w:ind w:firstLine="720"/>
      </w:pPr>
      <w:r w:rsidRPr="00BD472F">
        <w:t xml:space="preserve">the United States (2010 and 2018). </w:t>
      </w:r>
      <w:r w:rsidRPr="00BD472F">
        <w:rPr>
          <w:i/>
          <w:iCs/>
        </w:rPr>
        <w:t>Pharmacoeconomics, 39</w:t>
      </w:r>
      <w:r w:rsidRPr="00BD472F">
        <w:t>(6), 653-665.</w:t>
      </w:r>
    </w:p>
    <w:p w14:paraId="05533A6E" w14:textId="77777777" w:rsidR="00743255" w:rsidRPr="00BD472F" w:rsidRDefault="00743255" w:rsidP="00743255">
      <w:pPr>
        <w:spacing w:line="480" w:lineRule="auto"/>
      </w:pPr>
      <w:r w:rsidRPr="00BD472F">
        <w:t xml:space="preserve">Hasin, D. S., </w:t>
      </w:r>
      <w:proofErr w:type="spellStart"/>
      <w:r w:rsidRPr="00BD472F">
        <w:t>Sarvet</w:t>
      </w:r>
      <w:proofErr w:type="spellEnd"/>
      <w:r w:rsidRPr="00BD472F">
        <w:t xml:space="preserve">, A. L., Meyers, J. L., Saha, T. D., Ruan, W. J., Stohl, M., &amp; Grant, B. F. </w:t>
      </w:r>
    </w:p>
    <w:p w14:paraId="2F523D91" w14:textId="77777777" w:rsidR="00743255" w:rsidRPr="00BD472F" w:rsidRDefault="00743255" w:rsidP="00743255">
      <w:pPr>
        <w:spacing w:line="480" w:lineRule="auto"/>
        <w:ind w:firstLine="720"/>
      </w:pPr>
      <w:r w:rsidRPr="00BD472F">
        <w:t xml:space="preserve">(2018). Epidemiology of adult DSM-5 major depressive disorder and its specifiers in the </w:t>
      </w:r>
    </w:p>
    <w:p w14:paraId="7D3F956C" w14:textId="64F53DD7" w:rsidR="00743255" w:rsidRPr="00BD472F" w:rsidRDefault="00743255" w:rsidP="00743255">
      <w:pPr>
        <w:spacing w:line="480" w:lineRule="auto"/>
        <w:ind w:firstLine="720"/>
      </w:pPr>
      <w:r w:rsidRPr="00BD472F">
        <w:t xml:space="preserve">United States. </w:t>
      </w:r>
      <w:r w:rsidRPr="00BD472F">
        <w:rPr>
          <w:i/>
          <w:iCs/>
        </w:rPr>
        <w:t>JAMA Psychiatry, 75</w:t>
      </w:r>
      <w:r w:rsidRPr="00BD472F">
        <w:t>(4), 336-346.</w:t>
      </w:r>
    </w:p>
    <w:p w14:paraId="42E7FFC1" w14:textId="2116A834" w:rsidR="00743255" w:rsidRPr="00BD472F" w:rsidRDefault="00743255" w:rsidP="00743255">
      <w:pPr>
        <w:spacing w:line="480" w:lineRule="auto"/>
      </w:pPr>
      <w:r w:rsidRPr="00BD472F">
        <w:t xml:space="preserve">Hirshberg, M. J., Frye, C., Dahl, C. J., Riordan, K. M., Vack, N. J., Sachs, J., Goldman, R., </w:t>
      </w:r>
    </w:p>
    <w:p w14:paraId="3F5C0F6A" w14:textId="77777777" w:rsidR="00743255" w:rsidRPr="00BD472F" w:rsidRDefault="00743255" w:rsidP="00743255">
      <w:pPr>
        <w:spacing w:line="480" w:lineRule="auto"/>
        <w:ind w:firstLine="720"/>
      </w:pPr>
      <w:r w:rsidRPr="00BD472F">
        <w:rPr>
          <w:lang w:val="de-DE"/>
        </w:rPr>
        <w:t xml:space="preserve">Davidson, R. J., &amp; Goldberg, S. B. (2022). </w:t>
      </w:r>
      <w:r w:rsidRPr="00BD472F">
        <w:t xml:space="preserve">A randomized controlled trial of a </w:t>
      </w:r>
    </w:p>
    <w:p w14:paraId="1DC2128B" w14:textId="77777777" w:rsidR="00743255" w:rsidRPr="00BD472F" w:rsidRDefault="00743255" w:rsidP="00743255">
      <w:pPr>
        <w:spacing w:line="480" w:lineRule="auto"/>
        <w:ind w:firstLine="720"/>
      </w:pPr>
      <w:r w:rsidRPr="00BD472F">
        <w:t xml:space="preserve">smartphone-based well-being training in public school system employees during the </w:t>
      </w:r>
    </w:p>
    <w:p w14:paraId="062DAB70" w14:textId="77777777" w:rsidR="00743255" w:rsidRPr="00BD472F" w:rsidRDefault="00743255" w:rsidP="00743255">
      <w:pPr>
        <w:spacing w:line="480" w:lineRule="auto"/>
        <w:ind w:firstLine="720"/>
      </w:pPr>
      <w:r w:rsidRPr="00BD472F">
        <w:t xml:space="preserve">COVID-19 pandemic. </w:t>
      </w:r>
      <w:r w:rsidRPr="00BD472F">
        <w:rPr>
          <w:i/>
          <w:iCs/>
        </w:rPr>
        <w:t>Journal of Educational Psychology, 114</w:t>
      </w:r>
      <w:r w:rsidRPr="00BD472F">
        <w:t xml:space="preserve">(8), 1895–1911. </w:t>
      </w:r>
    </w:p>
    <w:p w14:paraId="513DA3F5" w14:textId="22489C70" w:rsidR="003E7B97" w:rsidRPr="00BD472F" w:rsidRDefault="003E7B97" w:rsidP="00632CC0">
      <w:pPr>
        <w:spacing w:line="480" w:lineRule="auto"/>
      </w:pPr>
      <w:r w:rsidRPr="00BD472F">
        <w:t xml:space="preserve">Huberty, J., Green, J., </w:t>
      </w:r>
      <w:proofErr w:type="spellStart"/>
      <w:r w:rsidRPr="00BD472F">
        <w:t>Puzia</w:t>
      </w:r>
      <w:proofErr w:type="spellEnd"/>
      <w:r w:rsidRPr="00BD472F">
        <w:t xml:space="preserve">, M., &amp; Stecher, C. (2021). Evaluation of mood check-in feature for </w:t>
      </w:r>
    </w:p>
    <w:p w14:paraId="14E8F797" w14:textId="77777777" w:rsidR="003E7B97" w:rsidRPr="00BD472F" w:rsidRDefault="003E7B97" w:rsidP="003E7B97">
      <w:pPr>
        <w:spacing w:line="480" w:lineRule="auto"/>
        <w:ind w:firstLine="720"/>
        <w:rPr>
          <w:i/>
          <w:iCs/>
        </w:rPr>
      </w:pPr>
      <w:r w:rsidRPr="00BD472F">
        <w:t xml:space="preserve">participation in meditation mobile app users: retrospective longitudinal analysis. </w:t>
      </w:r>
      <w:r w:rsidRPr="00BD472F">
        <w:rPr>
          <w:i/>
          <w:iCs/>
        </w:rPr>
        <w:t xml:space="preserve">JMIR </w:t>
      </w:r>
    </w:p>
    <w:p w14:paraId="4635E777" w14:textId="5B8B953C" w:rsidR="003E7B97" w:rsidRPr="00BD472F" w:rsidRDefault="003E7B97" w:rsidP="00873178">
      <w:pPr>
        <w:spacing w:line="480" w:lineRule="auto"/>
        <w:ind w:firstLine="720"/>
      </w:pPr>
      <w:r w:rsidRPr="00BD472F">
        <w:rPr>
          <w:i/>
          <w:iCs/>
        </w:rPr>
        <w:t xml:space="preserve">mHealth and </w:t>
      </w:r>
      <w:proofErr w:type="spellStart"/>
      <w:r w:rsidRPr="00BD472F">
        <w:rPr>
          <w:i/>
          <w:iCs/>
        </w:rPr>
        <w:t>uHealth</w:t>
      </w:r>
      <w:proofErr w:type="spellEnd"/>
      <w:r w:rsidRPr="00BD472F">
        <w:rPr>
          <w:i/>
          <w:iCs/>
        </w:rPr>
        <w:t>, 9</w:t>
      </w:r>
      <w:r w:rsidRPr="00BD472F">
        <w:t>(4), e27106.</w:t>
      </w:r>
    </w:p>
    <w:p w14:paraId="0F0CAD3A" w14:textId="77777777" w:rsidR="00156101" w:rsidRPr="00BD472F" w:rsidRDefault="00156101" w:rsidP="00632CC0">
      <w:pPr>
        <w:spacing w:line="480" w:lineRule="auto"/>
      </w:pPr>
      <w:r w:rsidRPr="00BD472F">
        <w:t xml:space="preserve">Huberty, J., </w:t>
      </w:r>
      <w:proofErr w:type="spellStart"/>
      <w:r w:rsidRPr="00BD472F">
        <w:t>Puzia</w:t>
      </w:r>
      <w:proofErr w:type="spellEnd"/>
      <w:r w:rsidRPr="00BD472F">
        <w:t xml:space="preserve">, M. E., Green, J., </w:t>
      </w:r>
      <w:proofErr w:type="spellStart"/>
      <w:r w:rsidRPr="00BD472F">
        <w:t>Vlisides</w:t>
      </w:r>
      <w:proofErr w:type="spellEnd"/>
      <w:r w:rsidRPr="00BD472F">
        <w:t xml:space="preserve">-Henry, R. D., Larkey, L., Irwin, M. R., &amp; </w:t>
      </w:r>
    </w:p>
    <w:p w14:paraId="669BD44D" w14:textId="77777777" w:rsidR="00156101" w:rsidRPr="00BD472F" w:rsidRDefault="00156101" w:rsidP="00156101">
      <w:pPr>
        <w:spacing w:line="480" w:lineRule="auto"/>
        <w:ind w:firstLine="720"/>
      </w:pPr>
      <w:proofErr w:type="spellStart"/>
      <w:r w:rsidRPr="00BD472F">
        <w:t>Vranceanu</w:t>
      </w:r>
      <w:proofErr w:type="spellEnd"/>
      <w:r w:rsidRPr="00BD472F">
        <w:t xml:space="preserve">, A. M. (2021). A mindfulness meditation mobile app improves depression and </w:t>
      </w:r>
    </w:p>
    <w:p w14:paraId="521BF4E4" w14:textId="77777777" w:rsidR="00156101" w:rsidRPr="00BD472F" w:rsidRDefault="00156101" w:rsidP="00156101">
      <w:pPr>
        <w:spacing w:line="480" w:lineRule="auto"/>
        <w:ind w:firstLine="720"/>
      </w:pPr>
      <w:r w:rsidRPr="00BD472F">
        <w:t xml:space="preserve">anxiety in adults with sleep disturbance: Analysis from a randomized controlled trial. </w:t>
      </w:r>
    </w:p>
    <w:p w14:paraId="02A04A80" w14:textId="066E5768" w:rsidR="00156101" w:rsidRPr="00BD472F" w:rsidRDefault="00156101" w:rsidP="00873178">
      <w:pPr>
        <w:spacing w:line="480" w:lineRule="auto"/>
        <w:ind w:firstLine="720"/>
      </w:pPr>
      <w:r w:rsidRPr="00BD472F">
        <w:rPr>
          <w:i/>
          <w:iCs/>
        </w:rPr>
        <w:t>General Hospital Psychiatry, 73</w:t>
      </w:r>
      <w:r w:rsidRPr="00BD472F">
        <w:t>, 30-37.</w:t>
      </w:r>
    </w:p>
    <w:p w14:paraId="4575BC83" w14:textId="77777777" w:rsidR="00AA0573" w:rsidRPr="00BD472F" w:rsidRDefault="00AA0573" w:rsidP="00632CC0">
      <w:pPr>
        <w:spacing w:line="480" w:lineRule="auto"/>
        <w:rPr>
          <w:i/>
          <w:iCs/>
        </w:rPr>
      </w:pPr>
      <w:r w:rsidRPr="00BD472F">
        <w:t xml:space="preserve">Kalin, N. H. (2020). The critical relationship between anxiety and depression. </w:t>
      </w:r>
      <w:r w:rsidRPr="00BD472F">
        <w:rPr>
          <w:i/>
          <w:iCs/>
        </w:rPr>
        <w:t xml:space="preserve">American Journal </w:t>
      </w:r>
    </w:p>
    <w:p w14:paraId="0539774B" w14:textId="017D781E" w:rsidR="00AA0573" w:rsidRPr="00BD472F" w:rsidRDefault="00AA0573" w:rsidP="00AA0573">
      <w:pPr>
        <w:spacing w:line="480" w:lineRule="auto"/>
        <w:ind w:firstLine="720"/>
      </w:pPr>
      <w:r w:rsidRPr="00BD472F">
        <w:rPr>
          <w:i/>
          <w:iCs/>
        </w:rPr>
        <w:t>of Psychiatry, 177</w:t>
      </w:r>
      <w:r w:rsidRPr="00BD472F">
        <w:t>(5), 365-367.</w:t>
      </w:r>
    </w:p>
    <w:p w14:paraId="39A3F21B" w14:textId="4BB1F60F" w:rsidR="00632CC0" w:rsidRPr="00BD472F" w:rsidRDefault="00632CC0" w:rsidP="00632CC0">
      <w:pPr>
        <w:spacing w:line="480" w:lineRule="auto"/>
      </w:pPr>
      <w:r w:rsidRPr="00BD472F">
        <w:t xml:space="preserve">Kessler, R. C., Petukhova, M., Sampson, N. A., Zaslavsky, A. M., &amp; Wittchen, H. U. (2012). </w:t>
      </w:r>
    </w:p>
    <w:p w14:paraId="4BC9838E" w14:textId="77777777" w:rsidR="00632CC0" w:rsidRPr="00BD472F" w:rsidRDefault="00632CC0" w:rsidP="00632CC0">
      <w:pPr>
        <w:spacing w:line="480" w:lineRule="auto"/>
        <w:ind w:firstLine="720"/>
      </w:pPr>
      <w:r w:rsidRPr="00BD472F">
        <w:lastRenderedPageBreak/>
        <w:t xml:space="preserve">Twelve‐month and lifetime prevalence and lifetime morbid risk of anxiety and mood </w:t>
      </w:r>
    </w:p>
    <w:p w14:paraId="0A3B6C14" w14:textId="77777777" w:rsidR="00632CC0" w:rsidRPr="00BD472F" w:rsidRDefault="00632CC0" w:rsidP="00632CC0">
      <w:pPr>
        <w:spacing w:line="480" w:lineRule="auto"/>
        <w:ind w:firstLine="720"/>
        <w:rPr>
          <w:i/>
          <w:iCs/>
        </w:rPr>
      </w:pPr>
      <w:r w:rsidRPr="00BD472F">
        <w:t xml:space="preserve">disorders in the United States. </w:t>
      </w:r>
      <w:r w:rsidRPr="00BD472F">
        <w:rPr>
          <w:i/>
          <w:iCs/>
        </w:rPr>
        <w:t xml:space="preserve">International Journal of Methods in Psychiatric Research, </w:t>
      </w:r>
    </w:p>
    <w:p w14:paraId="5F285EE0" w14:textId="77777777" w:rsidR="00632CC0" w:rsidRPr="00BD472F" w:rsidRDefault="00632CC0" w:rsidP="00632CC0">
      <w:pPr>
        <w:spacing w:line="480" w:lineRule="auto"/>
        <w:ind w:firstLine="720"/>
        <w:rPr>
          <w:lang w:val="de-DE"/>
        </w:rPr>
      </w:pPr>
      <w:r w:rsidRPr="00BD472F">
        <w:rPr>
          <w:i/>
          <w:iCs/>
          <w:lang w:val="de-DE"/>
        </w:rPr>
        <w:t>21</w:t>
      </w:r>
      <w:r w:rsidRPr="00BD472F">
        <w:rPr>
          <w:lang w:val="de-DE"/>
        </w:rPr>
        <w:t>(3), 169-184. doi: 10.1002/mpr.1359</w:t>
      </w:r>
    </w:p>
    <w:p w14:paraId="75FDAB36" w14:textId="77777777" w:rsidR="000E3E40" w:rsidRPr="00BD472F" w:rsidRDefault="000E3E40" w:rsidP="001B33D1">
      <w:pPr>
        <w:spacing w:line="480" w:lineRule="auto"/>
      </w:pPr>
      <w:r w:rsidRPr="00BD472F">
        <w:rPr>
          <w:lang w:val="de-DE"/>
        </w:rPr>
        <w:t xml:space="preserve">Kroenke, K., Spitzer, R., &amp; Williams, J. (2001).  </w:t>
      </w:r>
      <w:r w:rsidRPr="00BD472F">
        <w:t xml:space="preserve">The PHQ-9: Validity of a brief depression </w:t>
      </w:r>
    </w:p>
    <w:p w14:paraId="7E0CDEF4" w14:textId="0A303213" w:rsidR="000E3E40" w:rsidRPr="00BD472F" w:rsidRDefault="000E3E40" w:rsidP="000E3E40">
      <w:pPr>
        <w:spacing w:line="480" w:lineRule="auto"/>
        <w:ind w:firstLine="720"/>
      </w:pPr>
      <w:r w:rsidRPr="00BD472F">
        <w:t xml:space="preserve">severity measure. </w:t>
      </w:r>
      <w:r w:rsidRPr="00BD472F">
        <w:rPr>
          <w:i/>
          <w:iCs/>
        </w:rPr>
        <w:t>Journal of General Internal Medicine, 16</w:t>
      </w:r>
      <w:r w:rsidRPr="00BD472F">
        <w:t>(9), 606-613.</w:t>
      </w:r>
    </w:p>
    <w:p w14:paraId="25A63BF2" w14:textId="77777777" w:rsidR="008C3C3E" w:rsidRPr="00BD472F" w:rsidRDefault="008C3C3E" w:rsidP="001B33D1">
      <w:pPr>
        <w:spacing w:line="480" w:lineRule="auto"/>
      </w:pPr>
      <w:proofErr w:type="spellStart"/>
      <w:r w:rsidRPr="00BD472F">
        <w:t>Lakens</w:t>
      </w:r>
      <w:proofErr w:type="spellEnd"/>
      <w:r w:rsidRPr="00BD472F">
        <w:t xml:space="preserve">, D. (2013). Calculating and reporting effect sizes to facilitate cumulative science: a </w:t>
      </w:r>
    </w:p>
    <w:p w14:paraId="076F15CB" w14:textId="0F17F888" w:rsidR="008C3C3E" w:rsidRPr="00BD472F" w:rsidRDefault="008C3C3E" w:rsidP="008C3C3E">
      <w:pPr>
        <w:spacing w:line="480" w:lineRule="auto"/>
        <w:ind w:firstLine="720"/>
        <w:rPr>
          <w:lang w:val="de-DE"/>
        </w:rPr>
      </w:pPr>
      <w:r w:rsidRPr="00BD472F">
        <w:t xml:space="preserve">practical primer for t-tests and ANOVAs. </w:t>
      </w:r>
      <w:r w:rsidRPr="00BD472F">
        <w:rPr>
          <w:i/>
          <w:iCs/>
          <w:lang w:val="de-DE"/>
        </w:rPr>
        <w:t>Frontiers in Psychology, 4</w:t>
      </w:r>
      <w:r w:rsidRPr="00BD472F">
        <w:rPr>
          <w:lang w:val="de-DE"/>
        </w:rPr>
        <w:t>, 863.</w:t>
      </w:r>
    </w:p>
    <w:p w14:paraId="7AC9D7F8" w14:textId="626CEA8D" w:rsidR="00A56C9C" w:rsidRPr="00BD472F" w:rsidRDefault="00A56C9C" w:rsidP="001B33D1">
      <w:pPr>
        <w:spacing w:line="480" w:lineRule="auto"/>
      </w:pPr>
      <w:r w:rsidRPr="00BD472F">
        <w:rPr>
          <w:lang w:val="de-DE"/>
        </w:rPr>
        <w:t xml:space="preserve">Levi, K., Shoham, A., Amir, I., &amp; Bernstein, A. (2021). </w:t>
      </w:r>
      <w:r w:rsidRPr="00BD472F">
        <w:t xml:space="preserve">The daily dose-response hypothesis of </w:t>
      </w:r>
    </w:p>
    <w:p w14:paraId="445D7F5F" w14:textId="77777777" w:rsidR="00A56C9C" w:rsidRPr="00BD472F" w:rsidRDefault="00A56C9C" w:rsidP="00A56C9C">
      <w:pPr>
        <w:spacing w:line="480" w:lineRule="auto"/>
        <w:ind w:firstLine="720"/>
        <w:rPr>
          <w:i/>
          <w:iCs/>
        </w:rPr>
      </w:pPr>
      <w:r w:rsidRPr="00BD472F">
        <w:t xml:space="preserve">mindfulness meditation practice: An experience sampling study. </w:t>
      </w:r>
      <w:r w:rsidRPr="00BD472F">
        <w:rPr>
          <w:i/>
          <w:iCs/>
        </w:rPr>
        <w:t xml:space="preserve">Psychosomatic </w:t>
      </w:r>
    </w:p>
    <w:p w14:paraId="3A0D63C6" w14:textId="2C6F4958" w:rsidR="00A56C9C" w:rsidRPr="00BD472F" w:rsidRDefault="00A56C9C" w:rsidP="00A56C9C">
      <w:pPr>
        <w:spacing w:line="480" w:lineRule="auto"/>
        <w:ind w:firstLine="720"/>
      </w:pPr>
      <w:r w:rsidRPr="00BD472F">
        <w:rPr>
          <w:i/>
          <w:iCs/>
        </w:rPr>
        <w:t>Medicine, 83</w:t>
      </w:r>
      <w:r w:rsidRPr="00BD472F">
        <w:t>(6), 624-630.</w:t>
      </w:r>
    </w:p>
    <w:p w14:paraId="0ADD81E0" w14:textId="0BD30903" w:rsidR="00985378" w:rsidRPr="00BD472F" w:rsidRDefault="00985378" w:rsidP="001B33D1">
      <w:pPr>
        <w:spacing w:line="480" w:lineRule="auto"/>
      </w:pPr>
      <w:r w:rsidRPr="00BD472F">
        <w:t xml:space="preserve">Linardon, J., Messer, M., Goldberg, S. B., &amp; Fuller-Tyszkiewicz, M. (2024). The efficacy of </w:t>
      </w:r>
    </w:p>
    <w:p w14:paraId="2A1B8445" w14:textId="77777777" w:rsidR="00985378" w:rsidRPr="00BD472F" w:rsidRDefault="00985378" w:rsidP="00985378">
      <w:pPr>
        <w:spacing w:line="480" w:lineRule="auto"/>
        <w:ind w:firstLine="720"/>
      </w:pPr>
      <w:r w:rsidRPr="00BD472F">
        <w:t xml:space="preserve">mindfulness apps on symptoms of depression and anxiety: An updated meta-analysis of </w:t>
      </w:r>
    </w:p>
    <w:p w14:paraId="657E9F8D" w14:textId="6ECC2E5C" w:rsidR="00985378" w:rsidRPr="00BD472F" w:rsidRDefault="00985378" w:rsidP="00985378">
      <w:pPr>
        <w:spacing w:line="480" w:lineRule="auto"/>
        <w:ind w:firstLine="720"/>
      </w:pPr>
      <w:r w:rsidRPr="00BD472F">
        <w:t xml:space="preserve">randomized controlled trials. </w:t>
      </w:r>
      <w:r w:rsidRPr="00BD472F">
        <w:rPr>
          <w:i/>
          <w:iCs/>
        </w:rPr>
        <w:t>Clinical Psychology Review, 107</w:t>
      </w:r>
      <w:r w:rsidRPr="00BD472F">
        <w:t>, 102370.</w:t>
      </w:r>
    </w:p>
    <w:p w14:paraId="3408C028" w14:textId="77777777" w:rsidR="00D97203" w:rsidRPr="00BD472F" w:rsidRDefault="00D97203" w:rsidP="001B33D1">
      <w:pPr>
        <w:spacing w:line="480" w:lineRule="auto"/>
      </w:pPr>
      <w:r w:rsidRPr="00BD472F">
        <w:t xml:space="preserve">Lincoln, Y. S., &amp; Guba, E. E. (1986). Research, evaluation, and policy analysis: Heuristics for </w:t>
      </w:r>
    </w:p>
    <w:p w14:paraId="72C92F97" w14:textId="25832AAC" w:rsidR="00D97203" w:rsidRPr="00BD472F" w:rsidRDefault="00D97203" w:rsidP="00D97203">
      <w:pPr>
        <w:spacing w:line="480" w:lineRule="auto"/>
        <w:ind w:firstLine="720"/>
      </w:pPr>
      <w:r w:rsidRPr="00BD472F">
        <w:t xml:space="preserve">disciplined inquiry. </w:t>
      </w:r>
      <w:r w:rsidRPr="00BD472F">
        <w:rPr>
          <w:i/>
          <w:iCs/>
        </w:rPr>
        <w:t>Review of Policy Research, 5</w:t>
      </w:r>
      <w:r w:rsidRPr="00BD472F">
        <w:t>(3), 546-565.</w:t>
      </w:r>
    </w:p>
    <w:p w14:paraId="14D28590" w14:textId="4F14FA0A" w:rsidR="008D39D5" w:rsidRPr="00BD472F" w:rsidRDefault="008D39D5" w:rsidP="001B33D1">
      <w:pPr>
        <w:spacing w:line="480" w:lineRule="auto"/>
      </w:pPr>
      <w:r w:rsidRPr="00BD472F">
        <w:t xml:space="preserve">Moore, R. C., Depp, C. A., Wetherell, J. L., &amp; Lenze, E. J. (2016). Ecological momentary </w:t>
      </w:r>
    </w:p>
    <w:p w14:paraId="0D6511E7" w14:textId="77777777" w:rsidR="008D39D5" w:rsidRPr="00BD472F" w:rsidRDefault="008D39D5" w:rsidP="008D39D5">
      <w:pPr>
        <w:spacing w:line="480" w:lineRule="auto"/>
        <w:ind w:firstLine="720"/>
      </w:pPr>
      <w:r w:rsidRPr="00BD472F">
        <w:t xml:space="preserve">assessment versus standard assessment instruments for measuring mindfulness, depressed </w:t>
      </w:r>
    </w:p>
    <w:p w14:paraId="1B93F13A" w14:textId="6B5A9723" w:rsidR="008D39D5" w:rsidRPr="00BD472F" w:rsidRDefault="008D39D5" w:rsidP="008D39D5">
      <w:pPr>
        <w:spacing w:line="480" w:lineRule="auto"/>
        <w:ind w:firstLine="720"/>
      </w:pPr>
      <w:r w:rsidRPr="00BD472F">
        <w:t xml:space="preserve">mood, and anxiety among older adults. </w:t>
      </w:r>
      <w:r w:rsidRPr="00BD472F">
        <w:rPr>
          <w:i/>
          <w:iCs/>
        </w:rPr>
        <w:t>Journal of Psychiatric Research, 75</w:t>
      </w:r>
      <w:r w:rsidRPr="00BD472F">
        <w:t>, 116-123.</w:t>
      </w:r>
    </w:p>
    <w:p w14:paraId="05316A60" w14:textId="77777777" w:rsidR="00715FC5" w:rsidRPr="00BD472F" w:rsidRDefault="00715FC5" w:rsidP="001B33D1">
      <w:pPr>
        <w:spacing w:line="480" w:lineRule="auto"/>
      </w:pPr>
      <w:r w:rsidRPr="00BD472F">
        <w:t xml:space="preserve">Muñoz Bohorquez, J., Parra, D. C., Saperstein, S. L., Aparicio, E. M., Lewin, A. B., &amp; Green, K. </w:t>
      </w:r>
    </w:p>
    <w:p w14:paraId="60FC923E" w14:textId="77777777" w:rsidR="00715FC5" w:rsidRPr="00BD472F" w:rsidRDefault="00715FC5" w:rsidP="00715FC5">
      <w:pPr>
        <w:spacing w:line="480" w:lineRule="auto"/>
        <w:ind w:firstLine="720"/>
      </w:pPr>
      <w:r w:rsidRPr="00BD472F">
        <w:t xml:space="preserve">M. (2023). Feasibility of implementing a mindfulness-based online program for Latina </w:t>
      </w:r>
    </w:p>
    <w:p w14:paraId="1DF22685" w14:textId="46C725A9" w:rsidR="00715FC5" w:rsidRPr="00BD472F" w:rsidRDefault="00715FC5" w:rsidP="00873178">
      <w:pPr>
        <w:spacing w:line="480" w:lineRule="auto"/>
        <w:ind w:firstLine="720"/>
      </w:pPr>
      <w:r w:rsidRPr="00BD472F">
        <w:t xml:space="preserve">immigrants and the staff that work with them. </w:t>
      </w:r>
      <w:r w:rsidRPr="00BD472F">
        <w:rPr>
          <w:i/>
          <w:iCs/>
        </w:rPr>
        <w:t>Mindfulness, 14</w:t>
      </w:r>
      <w:r w:rsidRPr="00BD472F">
        <w:t>(5), 1148-1161.</w:t>
      </w:r>
    </w:p>
    <w:p w14:paraId="30F6C8A3" w14:textId="3BEA1346" w:rsidR="00164E01" w:rsidRPr="00BD472F" w:rsidRDefault="00164E01" w:rsidP="001B33D1">
      <w:pPr>
        <w:spacing w:line="480" w:lineRule="auto"/>
      </w:pPr>
      <w:r w:rsidRPr="00BD472F">
        <w:t xml:space="preserve">Orji, R., </w:t>
      </w:r>
      <w:proofErr w:type="spellStart"/>
      <w:r w:rsidRPr="00BD472F">
        <w:t>Lomotey</w:t>
      </w:r>
      <w:proofErr w:type="spellEnd"/>
      <w:r w:rsidRPr="00BD472F">
        <w:t xml:space="preserve">, R., Oyibo, K., Orji, F., Blustein, J., &amp; Shahid, S. (2018). Tracking feels </w:t>
      </w:r>
    </w:p>
    <w:p w14:paraId="5808265D" w14:textId="77777777" w:rsidR="00164E01" w:rsidRPr="00BD472F" w:rsidRDefault="00164E01" w:rsidP="00164E01">
      <w:pPr>
        <w:spacing w:line="480" w:lineRule="auto"/>
        <w:ind w:firstLine="720"/>
      </w:pPr>
      <w:r w:rsidRPr="00BD472F">
        <w:t>oppressive and ‘</w:t>
      </w:r>
      <w:proofErr w:type="spellStart"/>
      <w:r w:rsidRPr="00BD472F">
        <w:t>punishy</w:t>
      </w:r>
      <w:proofErr w:type="spellEnd"/>
      <w:r w:rsidRPr="00BD472F">
        <w:t xml:space="preserve">’: Exploring the costs and benefits of self-monitoring for health </w:t>
      </w:r>
    </w:p>
    <w:p w14:paraId="1C277252" w14:textId="067BD788" w:rsidR="00164E01" w:rsidRPr="00BD472F" w:rsidRDefault="00164E01" w:rsidP="00164E01">
      <w:pPr>
        <w:spacing w:line="480" w:lineRule="auto"/>
        <w:ind w:firstLine="720"/>
      </w:pPr>
      <w:r w:rsidRPr="00BD472F">
        <w:lastRenderedPageBreak/>
        <w:t xml:space="preserve">and wellness. </w:t>
      </w:r>
      <w:r w:rsidRPr="00BD472F">
        <w:rPr>
          <w:i/>
          <w:iCs/>
        </w:rPr>
        <w:t>Digital Health, 4</w:t>
      </w:r>
      <w:r w:rsidRPr="00BD472F">
        <w:t>, 2055207618797554.</w:t>
      </w:r>
    </w:p>
    <w:p w14:paraId="25CA979E" w14:textId="77777777" w:rsidR="00F81704" w:rsidRPr="00BD472F" w:rsidRDefault="00F81704" w:rsidP="001B33D1">
      <w:pPr>
        <w:spacing w:line="480" w:lineRule="auto"/>
      </w:pPr>
      <w:r w:rsidRPr="00BD472F">
        <w:t xml:space="preserve">Palinkas, L. A., Horwitz, S. M., Green, C. A., Wisdom, J. P., Duan, N., &amp; </w:t>
      </w:r>
      <w:proofErr w:type="spellStart"/>
      <w:r w:rsidRPr="00BD472F">
        <w:t>Hoagwood</w:t>
      </w:r>
      <w:proofErr w:type="spellEnd"/>
      <w:r w:rsidRPr="00BD472F">
        <w:t xml:space="preserve">, K. (2015). </w:t>
      </w:r>
    </w:p>
    <w:p w14:paraId="27E986EE" w14:textId="77777777" w:rsidR="00F81704" w:rsidRPr="00BD472F" w:rsidRDefault="00F81704" w:rsidP="00F81704">
      <w:pPr>
        <w:spacing w:line="480" w:lineRule="auto"/>
        <w:ind w:firstLine="720"/>
      </w:pPr>
      <w:r w:rsidRPr="00BD472F">
        <w:t xml:space="preserve">Purposeful sampling for qualitative data collection and analysis in mixed method </w:t>
      </w:r>
    </w:p>
    <w:p w14:paraId="3DB16843" w14:textId="77777777" w:rsidR="00F81704" w:rsidRPr="00BD472F" w:rsidRDefault="00F81704" w:rsidP="00F81704">
      <w:pPr>
        <w:spacing w:line="480" w:lineRule="auto"/>
        <w:ind w:firstLine="720"/>
        <w:rPr>
          <w:i/>
          <w:iCs/>
        </w:rPr>
      </w:pPr>
      <w:r w:rsidRPr="00BD472F">
        <w:t xml:space="preserve">implementation research. </w:t>
      </w:r>
      <w:r w:rsidRPr="00BD472F">
        <w:rPr>
          <w:i/>
          <w:iCs/>
        </w:rPr>
        <w:t xml:space="preserve">Administration and Policy in Mental Health and Mental Health </w:t>
      </w:r>
    </w:p>
    <w:p w14:paraId="36C54936" w14:textId="6B552D22" w:rsidR="00F81704" w:rsidRPr="00BD472F" w:rsidRDefault="00F81704" w:rsidP="00873178">
      <w:pPr>
        <w:spacing w:line="480" w:lineRule="auto"/>
        <w:ind w:firstLine="720"/>
      </w:pPr>
      <w:r w:rsidRPr="00BD472F">
        <w:rPr>
          <w:i/>
          <w:iCs/>
        </w:rPr>
        <w:t>Services Research, 42</w:t>
      </w:r>
      <w:r w:rsidRPr="00BD472F">
        <w:t>(5), 533-544.</w:t>
      </w:r>
    </w:p>
    <w:p w14:paraId="7C7BE36F" w14:textId="478E3CF4" w:rsidR="007D5F47" w:rsidRPr="00BD472F" w:rsidRDefault="007D5F47" w:rsidP="001B33D1">
      <w:pPr>
        <w:spacing w:line="480" w:lineRule="auto"/>
      </w:pPr>
      <w:r w:rsidRPr="00BD472F">
        <w:t xml:space="preserve">Parsons, C. E., Crane, C., Parsons, L. J., Fjorback, L. O., &amp; Kuyken, W. (2017). Home practice </w:t>
      </w:r>
    </w:p>
    <w:p w14:paraId="6A62F215" w14:textId="77777777" w:rsidR="007D5F47" w:rsidRPr="00BD472F" w:rsidRDefault="007D5F47" w:rsidP="007D5F47">
      <w:pPr>
        <w:spacing w:line="480" w:lineRule="auto"/>
        <w:ind w:firstLine="720"/>
      </w:pPr>
      <w:r w:rsidRPr="00BD472F">
        <w:t xml:space="preserve">in Mindfulness-Based Cognitive Therapy and Mindfulness-Based Stress Reduction: A </w:t>
      </w:r>
    </w:p>
    <w:p w14:paraId="76302393" w14:textId="77777777" w:rsidR="007D5F47" w:rsidRPr="00BD472F" w:rsidRDefault="007D5F47" w:rsidP="007D5F47">
      <w:pPr>
        <w:spacing w:line="480" w:lineRule="auto"/>
        <w:ind w:firstLine="720"/>
      </w:pPr>
      <w:r w:rsidRPr="00BD472F">
        <w:t xml:space="preserve">systematic review and meta-analysis of participants' mindfulness practice and its </w:t>
      </w:r>
    </w:p>
    <w:p w14:paraId="1DC08417" w14:textId="77777777" w:rsidR="007D5F47" w:rsidRPr="00BD472F" w:rsidRDefault="007D5F47" w:rsidP="007D5F47">
      <w:pPr>
        <w:spacing w:line="480" w:lineRule="auto"/>
        <w:ind w:firstLine="720"/>
      </w:pPr>
      <w:r w:rsidRPr="00BD472F">
        <w:t xml:space="preserve">association with outcomes. </w:t>
      </w:r>
      <w:r w:rsidRPr="00BD472F">
        <w:rPr>
          <w:i/>
          <w:iCs/>
        </w:rPr>
        <w:t>Behaviour Research and Therapy, 95</w:t>
      </w:r>
      <w:r w:rsidRPr="00BD472F">
        <w:t xml:space="preserve">, 29-41. </w:t>
      </w:r>
    </w:p>
    <w:p w14:paraId="0C281965" w14:textId="77777777" w:rsidR="00D41703" w:rsidRPr="00BD472F" w:rsidRDefault="00D41703" w:rsidP="001B33D1">
      <w:pPr>
        <w:spacing w:line="480" w:lineRule="auto"/>
        <w:rPr>
          <w:i/>
          <w:iCs/>
        </w:rPr>
      </w:pPr>
      <w:r w:rsidRPr="00BD472F">
        <w:t xml:space="preserve">Peters, S. (2010). Qualitative research methods in mental health. </w:t>
      </w:r>
      <w:r w:rsidRPr="00BD472F">
        <w:rPr>
          <w:i/>
          <w:iCs/>
        </w:rPr>
        <w:t xml:space="preserve">Evidence Based Mental Health, </w:t>
      </w:r>
    </w:p>
    <w:p w14:paraId="2A261006" w14:textId="56AED4D7" w:rsidR="00D41703" w:rsidRPr="00BD472F" w:rsidRDefault="00D41703" w:rsidP="00D41703">
      <w:pPr>
        <w:spacing w:line="480" w:lineRule="auto"/>
        <w:ind w:firstLine="720"/>
      </w:pPr>
      <w:r w:rsidRPr="00BD472F">
        <w:rPr>
          <w:i/>
          <w:iCs/>
        </w:rPr>
        <w:t>13</w:t>
      </w:r>
      <w:r w:rsidRPr="00BD472F">
        <w:t>(2).</w:t>
      </w:r>
    </w:p>
    <w:p w14:paraId="7336419A" w14:textId="77484258" w:rsidR="00A00A96" w:rsidRPr="00BD472F" w:rsidRDefault="00A00A96" w:rsidP="001B33D1">
      <w:pPr>
        <w:spacing w:line="480" w:lineRule="auto"/>
        <w:rPr>
          <w:i/>
          <w:iCs/>
        </w:rPr>
      </w:pPr>
      <w:r w:rsidRPr="00BD472F">
        <w:t xml:space="preserve">Pew Research Center (2024). </w:t>
      </w:r>
      <w:r w:rsidRPr="00BD472F">
        <w:rPr>
          <w:i/>
          <w:iCs/>
        </w:rPr>
        <w:t xml:space="preserve">Demographics of mobile device ownership and adoption in the </w:t>
      </w:r>
    </w:p>
    <w:p w14:paraId="0F4F13FB" w14:textId="7C9174AE" w:rsidR="00A00A96" w:rsidRPr="00BD472F" w:rsidRDefault="00A00A96" w:rsidP="00A00A96">
      <w:pPr>
        <w:spacing w:line="480" w:lineRule="auto"/>
        <w:ind w:firstLine="720"/>
      </w:pPr>
      <w:r w:rsidRPr="00BD472F">
        <w:rPr>
          <w:i/>
          <w:iCs/>
        </w:rPr>
        <w:t>United States</w:t>
      </w:r>
      <w:r w:rsidRPr="00BD472F">
        <w:t>. https://www.pewresearch.org/internet/fact-sheet/mobile/</w:t>
      </w:r>
    </w:p>
    <w:p w14:paraId="2F352503" w14:textId="77777777" w:rsidR="00397F2A" w:rsidRPr="00BD472F" w:rsidRDefault="00397F2A" w:rsidP="001B33D1">
      <w:pPr>
        <w:spacing w:line="480" w:lineRule="auto"/>
      </w:pPr>
      <w:proofErr w:type="spellStart"/>
      <w:r w:rsidRPr="00BD472F">
        <w:t>Pilkonis</w:t>
      </w:r>
      <w:proofErr w:type="spellEnd"/>
      <w:r w:rsidRPr="00BD472F">
        <w:t xml:space="preserve">, P. A., Choi, S. W., Reise, S. P., Stover, A. M., Riley, W. T., Cella, D., &amp; PROMIS </w:t>
      </w:r>
    </w:p>
    <w:p w14:paraId="4ED9D655" w14:textId="77777777" w:rsidR="00397F2A" w:rsidRPr="00BD472F" w:rsidRDefault="00397F2A" w:rsidP="00397F2A">
      <w:pPr>
        <w:spacing w:line="480" w:lineRule="auto"/>
        <w:ind w:firstLine="720"/>
      </w:pPr>
      <w:r w:rsidRPr="00BD472F">
        <w:t xml:space="preserve">Cooperative Group. (2011). Item banks for measuring emotional distress from the </w:t>
      </w:r>
    </w:p>
    <w:p w14:paraId="27543648" w14:textId="77777777" w:rsidR="00397F2A" w:rsidRPr="00BD472F" w:rsidRDefault="00397F2A" w:rsidP="00397F2A">
      <w:pPr>
        <w:spacing w:line="480" w:lineRule="auto"/>
        <w:ind w:firstLine="720"/>
      </w:pPr>
      <w:r w:rsidRPr="00BD472F">
        <w:t xml:space="preserve">Patient-Reported Outcomes Measurement Information System (PROMIS): Depression, </w:t>
      </w:r>
    </w:p>
    <w:p w14:paraId="52F49E6B" w14:textId="16005F49" w:rsidR="00397F2A" w:rsidRPr="00BD472F" w:rsidRDefault="00397F2A" w:rsidP="00397F2A">
      <w:pPr>
        <w:spacing w:line="480" w:lineRule="auto"/>
        <w:ind w:firstLine="720"/>
      </w:pPr>
      <w:r w:rsidRPr="00BD472F">
        <w:t xml:space="preserve">anxiety, and anger. </w:t>
      </w:r>
      <w:r w:rsidRPr="00BD472F">
        <w:rPr>
          <w:i/>
          <w:iCs/>
        </w:rPr>
        <w:t>Assessment, 18</w:t>
      </w:r>
      <w:r w:rsidRPr="00BD472F">
        <w:t>(3), 263-283.</w:t>
      </w:r>
    </w:p>
    <w:p w14:paraId="60D1BE2E" w14:textId="77777777" w:rsidR="008E2DF9" w:rsidRPr="00BD472F" w:rsidRDefault="008E2DF9" w:rsidP="001B33D1">
      <w:pPr>
        <w:spacing w:line="480" w:lineRule="auto"/>
      </w:pPr>
      <w:r w:rsidRPr="00BD472F">
        <w:t xml:space="preserve">Riordan, K. M., Simonsson, O., Frye, C., Vack, N. J., Sachs, J., Fitch, D., Goldman, R. I., </w:t>
      </w:r>
    </w:p>
    <w:p w14:paraId="01E30AF7" w14:textId="77777777" w:rsidR="008E2DF9" w:rsidRPr="00BD472F" w:rsidRDefault="008E2DF9" w:rsidP="008E2DF9">
      <w:pPr>
        <w:spacing w:line="480" w:lineRule="auto"/>
        <w:ind w:firstLine="720"/>
      </w:pPr>
      <w:r w:rsidRPr="00BD472F">
        <w:rPr>
          <w:lang w:val="de-DE"/>
        </w:rPr>
        <w:t xml:space="preserve">Chiang, E. S., Dahl, C. J., Davidson, R. J., &amp; Goldberg, S. B. (2024). </w:t>
      </w:r>
      <w:r w:rsidRPr="00BD472F">
        <w:t xml:space="preserve">How often should I </w:t>
      </w:r>
    </w:p>
    <w:p w14:paraId="6BB6E627" w14:textId="77777777" w:rsidR="008E2DF9" w:rsidRPr="00BD472F" w:rsidRDefault="008E2DF9" w:rsidP="008E2DF9">
      <w:pPr>
        <w:spacing w:line="480" w:lineRule="auto"/>
        <w:ind w:firstLine="720"/>
      </w:pPr>
      <w:r w:rsidRPr="00BD472F">
        <w:t xml:space="preserve">meditate? A randomized trial examining the role of meditation frequency when total </w:t>
      </w:r>
    </w:p>
    <w:p w14:paraId="6DFC83D4" w14:textId="77777777" w:rsidR="008E2DF9" w:rsidRPr="00BD472F" w:rsidRDefault="008E2DF9" w:rsidP="008E2DF9">
      <w:pPr>
        <w:spacing w:line="480" w:lineRule="auto"/>
        <w:ind w:firstLine="720"/>
      </w:pPr>
      <w:r w:rsidRPr="00BD472F">
        <w:t xml:space="preserve">amount of meditation is held constant. </w:t>
      </w:r>
      <w:r w:rsidRPr="00BD472F">
        <w:rPr>
          <w:i/>
          <w:iCs/>
        </w:rPr>
        <w:t>Journal of Counseling Psychology, 71</w:t>
      </w:r>
      <w:r w:rsidRPr="00BD472F">
        <w:t xml:space="preserve">, 104-114. </w:t>
      </w:r>
    </w:p>
    <w:p w14:paraId="4563DFED" w14:textId="77777777" w:rsidR="007F1F93" w:rsidRPr="00BD472F" w:rsidRDefault="007F1F93" w:rsidP="001B33D1">
      <w:pPr>
        <w:spacing w:line="480" w:lineRule="auto"/>
      </w:pPr>
      <w:r w:rsidRPr="00BD472F">
        <w:t xml:space="preserve">Rousmaniere, T., Goldberg, S. B., &amp; </w:t>
      </w:r>
      <w:proofErr w:type="spellStart"/>
      <w:r w:rsidRPr="00BD472F">
        <w:t>Torous</w:t>
      </w:r>
      <w:proofErr w:type="spellEnd"/>
      <w:r w:rsidRPr="00BD472F">
        <w:t xml:space="preserve">, J. (2026). Large language models as mental health </w:t>
      </w:r>
    </w:p>
    <w:p w14:paraId="143A36B0" w14:textId="2EF9EF73" w:rsidR="007F1F93" w:rsidRPr="00BD472F" w:rsidRDefault="007F1F93" w:rsidP="00562FC3">
      <w:pPr>
        <w:spacing w:line="480" w:lineRule="auto"/>
        <w:ind w:firstLine="720"/>
      </w:pPr>
      <w:r w:rsidRPr="00BD472F">
        <w:t xml:space="preserve">providers. </w:t>
      </w:r>
      <w:r w:rsidRPr="00BD472F">
        <w:rPr>
          <w:i/>
          <w:iCs/>
        </w:rPr>
        <w:t>The Lancet Psychiatry, 13</w:t>
      </w:r>
      <w:r w:rsidRPr="00BD472F">
        <w:t>, 7-9.</w:t>
      </w:r>
    </w:p>
    <w:p w14:paraId="1CA9A2AB" w14:textId="40839D66" w:rsidR="00A42679" w:rsidRPr="00BD472F" w:rsidRDefault="00A42679" w:rsidP="001B33D1">
      <w:pPr>
        <w:spacing w:line="480" w:lineRule="auto"/>
      </w:pPr>
      <w:r w:rsidRPr="00BD472F">
        <w:lastRenderedPageBreak/>
        <w:t xml:space="preserve">Rycroft-Malone, J., </w:t>
      </w:r>
      <w:proofErr w:type="spellStart"/>
      <w:r w:rsidRPr="00BD472F">
        <w:t>Gradinger</w:t>
      </w:r>
      <w:proofErr w:type="spellEnd"/>
      <w:r w:rsidRPr="00BD472F">
        <w:t xml:space="preserve">, F., Griffiths, H. O., Crane, R., Gibson, A., Mercer, S., ... &amp; </w:t>
      </w:r>
    </w:p>
    <w:p w14:paraId="44A1F2F4" w14:textId="77777777" w:rsidR="00A42679" w:rsidRPr="00BD472F" w:rsidRDefault="00A42679" w:rsidP="00A42679">
      <w:pPr>
        <w:spacing w:line="480" w:lineRule="auto"/>
        <w:ind w:firstLine="720"/>
      </w:pPr>
      <w:r w:rsidRPr="00BD472F">
        <w:t xml:space="preserve">Kuyken, W. (2017). Accessibility and implementation in the UK NHS services of an </w:t>
      </w:r>
    </w:p>
    <w:p w14:paraId="503B7FE7" w14:textId="77777777" w:rsidR="00A42679" w:rsidRPr="00BD472F" w:rsidRDefault="00A42679" w:rsidP="00A42679">
      <w:pPr>
        <w:spacing w:line="480" w:lineRule="auto"/>
        <w:ind w:firstLine="720"/>
      </w:pPr>
      <w:r w:rsidRPr="00BD472F">
        <w:t xml:space="preserve">effective depression relapse prevention </w:t>
      </w:r>
      <w:proofErr w:type="spellStart"/>
      <w:r w:rsidRPr="00BD472F">
        <w:t>programme</w:t>
      </w:r>
      <w:proofErr w:type="spellEnd"/>
      <w:r w:rsidRPr="00BD472F">
        <w:t xml:space="preserve">: Learning from mindfulness-based </w:t>
      </w:r>
    </w:p>
    <w:p w14:paraId="32CB3ED0" w14:textId="77777777" w:rsidR="00A42679" w:rsidRPr="00BD472F" w:rsidRDefault="00A42679" w:rsidP="00A42679">
      <w:pPr>
        <w:spacing w:line="480" w:lineRule="auto"/>
        <w:ind w:firstLine="720"/>
        <w:rPr>
          <w:i/>
          <w:iCs/>
        </w:rPr>
      </w:pPr>
      <w:r w:rsidRPr="00BD472F">
        <w:t xml:space="preserve">cognitive therapy through a mixed-methods study. </w:t>
      </w:r>
      <w:r w:rsidRPr="00BD472F">
        <w:rPr>
          <w:i/>
          <w:iCs/>
        </w:rPr>
        <w:t xml:space="preserve">Health Services and Delivery </w:t>
      </w:r>
    </w:p>
    <w:p w14:paraId="60CA45C2" w14:textId="15A695BD" w:rsidR="00A42679" w:rsidRPr="00BD472F" w:rsidRDefault="00A42679" w:rsidP="00A42679">
      <w:pPr>
        <w:spacing w:line="480" w:lineRule="auto"/>
        <w:ind w:firstLine="720"/>
      </w:pPr>
      <w:r w:rsidRPr="00BD472F">
        <w:rPr>
          <w:i/>
          <w:iCs/>
        </w:rPr>
        <w:t>Research, 5</w:t>
      </w:r>
      <w:r w:rsidRPr="00BD472F">
        <w:t>(14), 1-190.</w:t>
      </w:r>
    </w:p>
    <w:p w14:paraId="6C1EA3B5" w14:textId="77777777" w:rsidR="00B54085" w:rsidRPr="00BD472F" w:rsidRDefault="00B54085" w:rsidP="001B33D1">
      <w:pPr>
        <w:spacing w:line="480" w:lineRule="auto"/>
      </w:pPr>
      <w:proofErr w:type="spellStart"/>
      <w:r w:rsidRPr="00BD472F">
        <w:t>Schalet</w:t>
      </w:r>
      <w:proofErr w:type="spellEnd"/>
      <w:r w:rsidRPr="00BD472F">
        <w:t xml:space="preserve">, B. D., Cook, K. F., Choi, S. W., &amp; Cella, D. (2014). Establishing a common metric for </w:t>
      </w:r>
    </w:p>
    <w:p w14:paraId="0BA7337C" w14:textId="77777777" w:rsidR="00B54085" w:rsidRPr="00BD472F" w:rsidRDefault="00B54085" w:rsidP="00B54085">
      <w:pPr>
        <w:spacing w:line="480" w:lineRule="auto"/>
        <w:ind w:firstLine="720"/>
      </w:pPr>
      <w:r w:rsidRPr="00BD472F">
        <w:t xml:space="preserve">self-reported anxiety: Linking the MASQ, PANAS, and GAD-7 to PROMIS Anxiety. </w:t>
      </w:r>
    </w:p>
    <w:p w14:paraId="5A153D12" w14:textId="6E7B4F89" w:rsidR="00B54085" w:rsidRPr="00BD472F" w:rsidRDefault="00B54085" w:rsidP="00B54085">
      <w:pPr>
        <w:spacing w:line="480" w:lineRule="auto"/>
        <w:ind w:firstLine="720"/>
      </w:pPr>
      <w:r w:rsidRPr="00BD472F">
        <w:rPr>
          <w:i/>
          <w:iCs/>
        </w:rPr>
        <w:t>Journal of Anxiety Disorders, 28</w:t>
      </w:r>
      <w:r w:rsidRPr="00BD472F">
        <w:t>(1), 88-96.</w:t>
      </w:r>
    </w:p>
    <w:p w14:paraId="4E2319C9" w14:textId="77777777" w:rsidR="00E603D2" w:rsidRDefault="00E603D2" w:rsidP="00985378">
      <w:pPr>
        <w:spacing w:line="480" w:lineRule="auto"/>
      </w:pPr>
      <w:r w:rsidRPr="00E603D2">
        <w:t xml:space="preserve">Simonsson, O., Webb, C. A., Ruiz, M., Osika, W., Narayanan, J., Dahlén, M., Lutz, W., </w:t>
      </w:r>
    </w:p>
    <w:p w14:paraId="4F5A5C24" w14:textId="77777777" w:rsidR="00E603D2" w:rsidRPr="00467B9A" w:rsidRDefault="00E603D2" w:rsidP="00E603D2">
      <w:pPr>
        <w:spacing w:line="480" w:lineRule="auto"/>
        <w:ind w:firstLine="720"/>
        <w:rPr>
          <w:lang w:val="de-DE"/>
        </w:rPr>
      </w:pPr>
      <w:r w:rsidRPr="00467B9A">
        <w:rPr>
          <w:lang w:val="de-DE"/>
        </w:rPr>
        <w:t xml:space="preserve">Schwartz, B., Ren, B., Dahl, C. J., Davidson, R. J., Hirshberg, M. J., &amp; Goldberg, S. B. </w:t>
      </w:r>
    </w:p>
    <w:p w14:paraId="368EBAA6" w14:textId="77777777" w:rsidR="00E603D2" w:rsidRDefault="00E603D2" w:rsidP="00E603D2">
      <w:pPr>
        <w:spacing w:line="480" w:lineRule="auto"/>
        <w:ind w:firstLine="720"/>
      </w:pPr>
      <w:r w:rsidRPr="00E603D2">
        <w:t xml:space="preserve">(2026). Personalized prediction of response to three meditation practices: A randomized </w:t>
      </w:r>
    </w:p>
    <w:p w14:paraId="25170F87" w14:textId="42F4708D" w:rsidR="00E603D2" w:rsidRDefault="00E603D2" w:rsidP="00467B9A">
      <w:pPr>
        <w:spacing w:line="480" w:lineRule="auto"/>
        <w:ind w:firstLine="720"/>
      </w:pPr>
      <w:r w:rsidRPr="00E603D2">
        <w:t>controlled trial</w:t>
      </w:r>
      <w:r w:rsidRPr="00467B9A">
        <w:rPr>
          <w:i/>
          <w:iCs/>
        </w:rPr>
        <w:t>. Behaviour Research and Therapy,</w:t>
      </w:r>
      <w:r w:rsidRPr="00E603D2">
        <w:t xml:space="preserve"> 105141.</w:t>
      </w:r>
    </w:p>
    <w:p w14:paraId="4DDE8AB1" w14:textId="049361AE" w:rsidR="001479F6" w:rsidRPr="00BD472F" w:rsidRDefault="001479F6" w:rsidP="00985378">
      <w:pPr>
        <w:spacing w:line="480" w:lineRule="auto"/>
      </w:pPr>
      <w:r w:rsidRPr="00467B9A">
        <w:rPr>
          <w:lang w:val="de-DE"/>
        </w:rPr>
        <w:t xml:space="preserve">Stecher, C., Chen, C. H., Codella, J., Cloonan, S., &amp; Hendler, J. (2024). </w:t>
      </w:r>
      <w:r w:rsidRPr="00BD472F">
        <w:t xml:space="preserve">Combining anchoring </w:t>
      </w:r>
    </w:p>
    <w:p w14:paraId="3630F145" w14:textId="77777777" w:rsidR="001479F6" w:rsidRPr="00BD472F" w:rsidRDefault="001479F6" w:rsidP="001479F6">
      <w:pPr>
        <w:spacing w:line="480" w:lineRule="auto"/>
        <w:ind w:firstLine="720"/>
      </w:pPr>
      <w:r w:rsidRPr="00BD472F">
        <w:t xml:space="preserve">with financial incentives to increase physical activity: a randomized controlled trial </w:t>
      </w:r>
    </w:p>
    <w:p w14:paraId="335BA144" w14:textId="6D7B81D6" w:rsidR="001479F6" w:rsidRPr="00BD472F" w:rsidRDefault="001479F6" w:rsidP="001479F6">
      <w:pPr>
        <w:spacing w:line="480" w:lineRule="auto"/>
        <w:ind w:firstLine="720"/>
      </w:pPr>
      <w:r w:rsidRPr="00BD472F">
        <w:t xml:space="preserve">among college students. </w:t>
      </w:r>
      <w:r w:rsidRPr="00BD472F">
        <w:rPr>
          <w:i/>
          <w:iCs/>
        </w:rPr>
        <w:t>Journal of Behavioral Medicine, 47</w:t>
      </w:r>
      <w:r w:rsidRPr="00BD472F">
        <w:t>(5), 751-769.</w:t>
      </w:r>
    </w:p>
    <w:p w14:paraId="72DD444A" w14:textId="77777777" w:rsidR="00E603D2" w:rsidRPr="00467B9A" w:rsidRDefault="00E603D2" w:rsidP="00F247CD">
      <w:pPr>
        <w:spacing w:line="480" w:lineRule="auto"/>
        <w:rPr>
          <w:i/>
          <w:iCs/>
        </w:rPr>
      </w:pPr>
      <w:r w:rsidRPr="00467B9A">
        <w:t xml:space="preserve">Strohmaier, S., Jones, M., Cristiano, I., &amp; Goldberg, S. B. (2026). </w:t>
      </w:r>
      <w:r w:rsidRPr="00467B9A">
        <w:rPr>
          <w:i/>
          <w:iCs/>
        </w:rPr>
        <w:t xml:space="preserve">An exploratory systematic </w:t>
      </w:r>
    </w:p>
    <w:p w14:paraId="6D920495" w14:textId="77777777" w:rsidR="00E603D2" w:rsidRPr="00467B9A" w:rsidRDefault="00E603D2" w:rsidP="00E603D2">
      <w:pPr>
        <w:spacing w:line="480" w:lineRule="auto"/>
        <w:ind w:firstLine="720"/>
        <w:rPr>
          <w:i/>
          <w:iCs/>
        </w:rPr>
      </w:pPr>
      <w:r w:rsidRPr="00467B9A">
        <w:rPr>
          <w:i/>
          <w:iCs/>
        </w:rPr>
        <w:t xml:space="preserve">review and meta-analysis of randomized controlled trial manipulating dose in meditation </w:t>
      </w:r>
    </w:p>
    <w:p w14:paraId="102F316B" w14:textId="774D5A66" w:rsidR="00E603D2" w:rsidRPr="00467B9A" w:rsidRDefault="00E603D2" w:rsidP="00467B9A">
      <w:pPr>
        <w:spacing w:line="480" w:lineRule="auto"/>
        <w:ind w:firstLine="720"/>
      </w:pPr>
      <w:r w:rsidRPr="00467B9A">
        <w:rPr>
          <w:i/>
          <w:iCs/>
        </w:rPr>
        <w:t xml:space="preserve">studies. </w:t>
      </w:r>
      <w:r w:rsidRPr="00467B9A">
        <w:t>Manuscript submitted for publication.</w:t>
      </w:r>
    </w:p>
    <w:p w14:paraId="29AF989C" w14:textId="3D3AB499" w:rsidR="004B6460" w:rsidRPr="00BD472F" w:rsidRDefault="004B6460" w:rsidP="00F247CD">
      <w:pPr>
        <w:spacing w:line="480" w:lineRule="auto"/>
      </w:pPr>
      <w:r w:rsidRPr="00BD472F">
        <w:rPr>
          <w:lang w:val="de-DE"/>
        </w:rPr>
        <w:t xml:space="preserve">Vehtari, A., Gelman, A., &amp; Gabry, J. (2017). </w:t>
      </w:r>
      <w:r w:rsidRPr="00BD472F">
        <w:t>Practical Bayesian model evaluation using leave-</w:t>
      </w:r>
    </w:p>
    <w:p w14:paraId="58C760BB" w14:textId="4BCA7BA2" w:rsidR="004B6460" w:rsidRPr="00BD472F" w:rsidRDefault="004B6460" w:rsidP="00695DBD">
      <w:pPr>
        <w:spacing w:line="480" w:lineRule="auto"/>
        <w:ind w:firstLine="720"/>
      </w:pPr>
      <w:r w:rsidRPr="00BD472F">
        <w:t xml:space="preserve">one-out cross-validation and WAIC. </w:t>
      </w:r>
      <w:r w:rsidRPr="00BD472F">
        <w:rPr>
          <w:i/>
          <w:iCs/>
        </w:rPr>
        <w:t>Statistics and Computing, 27</w:t>
      </w:r>
      <w:r w:rsidRPr="00BD472F">
        <w:t xml:space="preserve">(4), 1413–1432. </w:t>
      </w:r>
    </w:p>
    <w:p w14:paraId="64D53E09" w14:textId="15402490" w:rsidR="00F247CD" w:rsidRPr="00BD472F" w:rsidRDefault="00F247CD" w:rsidP="00F247CD">
      <w:pPr>
        <w:spacing w:line="480" w:lineRule="auto"/>
      </w:pPr>
      <w:r w:rsidRPr="00BD472F">
        <w:t xml:space="preserve">Wasil, A. R., Gillespie, S., Patel, R., Petre, A., Venturo-Conerly, K. E., Shingleton, R. M., Weisz, </w:t>
      </w:r>
    </w:p>
    <w:p w14:paraId="69F8F692" w14:textId="77777777" w:rsidR="00F247CD" w:rsidRPr="00BD472F" w:rsidRDefault="00F247CD" w:rsidP="00F247CD">
      <w:pPr>
        <w:spacing w:line="480" w:lineRule="auto"/>
        <w:ind w:firstLine="720"/>
      </w:pPr>
      <w:r w:rsidRPr="00BD472F">
        <w:rPr>
          <w:lang w:val="de-DE"/>
        </w:rPr>
        <w:t xml:space="preserve">J. R., &amp; DeRubeis, R. J. (2020). </w:t>
      </w:r>
      <w:r w:rsidRPr="00BD472F">
        <w:t xml:space="preserve">Reassessing evidence-based content in popular </w:t>
      </w:r>
    </w:p>
    <w:p w14:paraId="2D7EBEE2" w14:textId="77777777" w:rsidR="00F247CD" w:rsidRPr="00BD472F" w:rsidRDefault="00F247CD" w:rsidP="00F247CD">
      <w:pPr>
        <w:spacing w:line="480" w:lineRule="auto"/>
        <w:ind w:firstLine="720"/>
      </w:pPr>
      <w:r w:rsidRPr="00BD472F">
        <w:t xml:space="preserve">smartphone apps for depression and anxiety: Developing and applying user-adjusted </w:t>
      </w:r>
    </w:p>
    <w:p w14:paraId="73202621" w14:textId="77777777" w:rsidR="00F247CD" w:rsidRPr="00BD472F" w:rsidRDefault="00F247CD" w:rsidP="00F247CD">
      <w:pPr>
        <w:spacing w:line="480" w:lineRule="auto"/>
        <w:ind w:firstLine="720"/>
      </w:pPr>
      <w:r w:rsidRPr="00BD472F">
        <w:lastRenderedPageBreak/>
        <w:t xml:space="preserve">analyses. </w:t>
      </w:r>
      <w:r w:rsidRPr="00BD472F">
        <w:rPr>
          <w:i/>
          <w:iCs/>
        </w:rPr>
        <w:t>Journal of Consulting and Clinical Psychology, 88</w:t>
      </w:r>
      <w:r w:rsidRPr="00BD472F">
        <w:t xml:space="preserve">(11), 983-993.  </w:t>
      </w:r>
    </w:p>
    <w:p w14:paraId="3500893A" w14:textId="77777777" w:rsidR="003A2B50" w:rsidRPr="00BD472F" w:rsidRDefault="003A2B50" w:rsidP="003A2B50">
      <w:pPr>
        <w:spacing w:line="480" w:lineRule="auto"/>
      </w:pPr>
      <w:r w:rsidRPr="00BD472F">
        <w:t xml:space="preserve">Webb, C. A., Hilt, L. M., Swords, C. M., Bolt, D. M., Fisher, H., &amp; Goldberg, S. B. (2025). </w:t>
      </w:r>
    </w:p>
    <w:p w14:paraId="59E7DF2A" w14:textId="77777777" w:rsidR="003A2B50" w:rsidRPr="00BD472F" w:rsidRDefault="003A2B50" w:rsidP="003A2B50">
      <w:pPr>
        <w:spacing w:line="480" w:lineRule="auto"/>
        <w:ind w:firstLine="720"/>
      </w:pPr>
      <w:r w:rsidRPr="00BD472F">
        <w:t xml:space="preserve">Ecological momentary assessment as a measure of intervention change: Evaluation in 4 </w:t>
      </w:r>
    </w:p>
    <w:p w14:paraId="1D4ED913" w14:textId="77777777" w:rsidR="003A2B50" w:rsidRPr="00BD472F" w:rsidRDefault="003A2B50" w:rsidP="003A2B50">
      <w:pPr>
        <w:spacing w:line="480" w:lineRule="auto"/>
        <w:ind w:firstLine="720"/>
      </w:pPr>
      <w:r w:rsidRPr="00BD472F">
        <w:t xml:space="preserve">digital mental health trials. </w:t>
      </w:r>
      <w:r w:rsidRPr="00BD472F">
        <w:rPr>
          <w:i/>
          <w:iCs/>
        </w:rPr>
        <w:t>Journal of Medical Internet Research, 27</w:t>
      </w:r>
      <w:r w:rsidRPr="00BD472F">
        <w:t>, e69297.</w:t>
      </w:r>
    </w:p>
    <w:p w14:paraId="06923F70" w14:textId="77777777" w:rsidR="00D85B09" w:rsidRPr="00467B9A" w:rsidRDefault="00D85B09" w:rsidP="002B052D">
      <w:pPr>
        <w:spacing w:line="480" w:lineRule="auto"/>
      </w:pPr>
      <w:r w:rsidRPr="00467B9A">
        <w:t xml:space="preserve">Xie, Q., Dyer, R. L., Lam, S. U., Frye, C., Dahl, C. J., Quanbeck, A., Nahum-Shani, I., Davidson, </w:t>
      </w:r>
    </w:p>
    <w:p w14:paraId="7A26B06E" w14:textId="77777777" w:rsidR="00D85B09" w:rsidRPr="00467B9A" w:rsidRDefault="00D85B09" w:rsidP="00D85B09">
      <w:pPr>
        <w:spacing w:line="480" w:lineRule="auto"/>
        <w:ind w:firstLine="720"/>
      </w:pPr>
      <w:r w:rsidRPr="00D85B09">
        <w:rPr>
          <w:lang w:val="de-DE"/>
        </w:rPr>
        <w:t xml:space="preserve">R. J., &amp; Goldberg, S. B. (2024). </w:t>
      </w:r>
      <w:r w:rsidRPr="00467B9A">
        <w:t xml:space="preserve">Understanding the implementation of informal </w:t>
      </w:r>
    </w:p>
    <w:p w14:paraId="6274D02C" w14:textId="77777777" w:rsidR="00D85B09" w:rsidRPr="00467B9A" w:rsidRDefault="00D85B09" w:rsidP="00D85B09">
      <w:pPr>
        <w:spacing w:line="480" w:lineRule="auto"/>
        <w:ind w:firstLine="720"/>
      </w:pPr>
      <w:r w:rsidRPr="00467B9A">
        <w:t xml:space="preserve">meditation practice in a smartphone-based intervention: A qualitative analysis. </w:t>
      </w:r>
    </w:p>
    <w:p w14:paraId="5E0114AE" w14:textId="38063D92" w:rsidR="00D85B09" w:rsidRDefault="00D85B09" w:rsidP="00467B9A">
      <w:pPr>
        <w:spacing w:line="480" w:lineRule="auto"/>
        <w:ind w:firstLine="720"/>
        <w:rPr>
          <w:lang w:val="de-DE"/>
        </w:rPr>
      </w:pPr>
      <w:r w:rsidRPr="00467B9A">
        <w:rPr>
          <w:i/>
          <w:iCs/>
          <w:lang w:val="de-DE"/>
        </w:rPr>
        <w:t>Mindfulness, 15</w:t>
      </w:r>
      <w:r w:rsidRPr="00D85B09">
        <w:rPr>
          <w:lang w:val="de-DE"/>
        </w:rPr>
        <w:t>(2), 479-490.</w:t>
      </w:r>
    </w:p>
    <w:p w14:paraId="515BCDE9" w14:textId="54F5350D" w:rsidR="002B052D" w:rsidRPr="00BD472F" w:rsidRDefault="002B052D" w:rsidP="002B052D">
      <w:pPr>
        <w:spacing w:line="480" w:lineRule="auto"/>
      </w:pPr>
      <w:r w:rsidRPr="00BD472F">
        <w:rPr>
          <w:lang w:val="de-DE"/>
        </w:rPr>
        <w:t xml:space="preserve">Zantvoort, K., Nacke, B., Görlich, D., Hornstein, S., Jacobi, C., &amp; Funk, B. (2024). </w:t>
      </w:r>
      <w:r w:rsidRPr="00BD472F">
        <w:t xml:space="preserve">Estimation of </w:t>
      </w:r>
    </w:p>
    <w:p w14:paraId="2E4EE097" w14:textId="77777777" w:rsidR="002B052D" w:rsidRPr="00BD472F" w:rsidRDefault="002B052D" w:rsidP="002B052D">
      <w:pPr>
        <w:spacing w:line="480" w:lineRule="auto"/>
        <w:ind w:firstLine="720"/>
      </w:pPr>
      <w:r w:rsidRPr="00BD472F">
        <w:t xml:space="preserve">minimal data sets sizes for machine learning predictions in digital mental health </w:t>
      </w:r>
    </w:p>
    <w:p w14:paraId="5FC5859B" w14:textId="49F74640" w:rsidR="002B052D" w:rsidRPr="00BD472F" w:rsidRDefault="002B052D" w:rsidP="002B052D">
      <w:pPr>
        <w:spacing w:line="480" w:lineRule="auto"/>
        <w:ind w:firstLine="720"/>
        <w:sectPr w:rsidR="002B052D" w:rsidRPr="00BD472F" w:rsidSect="00CB3B38">
          <w:pgSz w:w="12240" w:h="15840"/>
          <w:pgMar w:top="1440" w:right="1440" w:bottom="1440" w:left="1440" w:header="720" w:footer="720" w:gutter="0"/>
          <w:cols w:space="720"/>
          <w:docGrid w:linePitch="360"/>
        </w:sectPr>
      </w:pPr>
      <w:r w:rsidRPr="00BD472F">
        <w:t xml:space="preserve">interventions. </w:t>
      </w:r>
      <w:proofErr w:type="spellStart"/>
      <w:r w:rsidRPr="00BD472F">
        <w:rPr>
          <w:i/>
          <w:iCs/>
        </w:rPr>
        <w:t>npj</w:t>
      </w:r>
      <w:proofErr w:type="spellEnd"/>
      <w:r w:rsidRPr="00BD472F">
        <w:rPr>
          <w:i/>
          <w:iCs/>
        </w:rPr>
        <w:t xml:space="preserve"> Digital Medicine, 7</w:t>
      </w:r>
      <w:r w:rsidRPr="00BD472F">
        <w:t>, 361.</w:t>
      </w:r>
    </w:p>
    <w:p w14:paraId="639A2F59" w14:textId="0F632072" w:rsidR="00F31211" w:rsidRPr="00BD472F" w:rsidRDefault="00D605BD" w:rsidP="00D605BD">
      <w:pPr>
        <w:spacing w:line="480" w:lineRule="auto"/>
        <w:rPr>
          <w:b/>
          <w:bCs/>
        </w:rPr>
      </w:pPr>
      <w:r w:rsidRPr="00BD472F">
        <w:rPr>
          <w:b/>
          <w:bCs/>
        </w:rPr>
        <w:lastRenderedPageBreak/>
        <w:t xml:space="preserve">Figure </w:t>
      </w:r>
      <w:r w:rsidR="00CD1BDD" w:rsidRPr="00BD472F">
        <w:rPr>
          <w:b/>
          <w:bCs/>
        </w:rPr>
        <w:t>1</w:t>
      </w:r>
      <w:r w:rsidRPr="00BD472F">
        <w:rPr>
          <w:b/>
          <w:bCs/>
        </w:rPr>
        <w:t xml:space="preserve"> </w:t>
      </w:r>
    </w:p>
    <w:p w14:paraId="0F94EFF0" w14:textId="6EBB7558" w:rsidR="00D605BD" w:rsidRPr="00BD472F" w:rsidRDefault="00D605BD" w:rsidP="00D605BD">
      <w:pPr>
        <w:spacing w:line="480" w:lineRule="auto"/>
        <w:rPr>
          <w:i/>
          <w:iCs/>
        </w:rPr>
      </w:pPr>
      <w:r w:rsidRPr="00BD472F">
        <w:rPr>
          <w:i/>
          <w:iCs/>
        </w:rPr>
        <w:t xml:space="preserve">Ecological </w:t>
      </w:r>
      <w:r w:rsidR="005279E3" w:rsidRPr="00BD472F">
        <w:rPr>
          <w:i/>
          <w:iCs/>
        </w:rPr>
        <w:t>M</w:t>
      </w:r>
      <w:r w:rsidRPr="00BD472F">
        <w:rPr>
          <w:i/>
          <w:iCs/>
        </w:rPr>
        <w:t xml:space="preserve">omentary </w:t>
      </w:r>
      <w:r w:rsidR="005279E3" w:rsidRPr="00BD472F">
        <w:rPr>
          <w:i/>
          <w:iCs/>
        </w:rPr>
        <w:t>A</w:t>
      </w:r>
      <w:r w:rsidRPr="00BD472F">
        <w:rPr>
          <w:i/>
          <w:iCs/>
        </w:rPr>
        <w:t xml:space="preserve">ssessment </w:t>
      </w:r>
      <w:r w:rsidR="005279E3" w:rsidRPr="00BD472F">
        <w:rPr>
          <w:i/>
          <w:iCs/>
        </w:rPr>
        <w:t>P</w:t>
      </w:r>
      <w:r w:rsidRPr="00BD472F">
        <w:rPr>
          <w:i/>
          <w:iCs/>
        </w:rPr>
        <w:t xml:space="preserve">sychological </w:t>
      </w:r>
      <w:r w:rsidR="005279E3" w:rsidRPr="00BD472F">
        <w:rPr>
          <w:i/>
          <w:iCs/>
        </w:rPr>
        <w:t>D</w:t>
      </w:r>
      <w:r w:rsidRPr="00BD472F">
        <w:rPr>
          <w:i/>
          <w:iCs/>
        </w:rPr>
        <w:t xml:space="preserve">istress by </w:t>
      </w:r>
      <w:r w:rsidR="005279E3" w:rsidRPr="00BD472F">
        <w:rPr>
          <w:i/>
          <w:iCs/>
        </w:rPr>
        <w:t>G</w:t>
      </w:r>
      <w:r w:rsidRPr="00BD472F">
        <w:rPr>
          <w:i/>
          <w:iCs/>
        </w:rPr>
        <w:t xml:space="preserve">roup </w:t>
      </w:r>
      <w:r w:rsidR="005279E3" w:rsidRPr="00BD472F">
        <w:rPr>
          <w:i/>
          <w:iCs/>
        </w:rPr>
        <w:t>O</w:t>
      </w:r>
      <w:r w:rsidRPr="00BD472F">
        <w:rPr>
          <w:i/>
          <w:iCs/>
        </w:rPr>
        <w:t xml:space="preserve">ver </w:t>
      </w:r>
      <w:r w:rsidR="005279E3" w:rsidRPr="00BD472F">
        <w:rPr>
          <w:i/>
          <w:iCs/>
        </w:rPr>
        <w:t>T</w:t>
      </w:r>
      <w:r w:rsidRPr="00BD472F">
        <w:rPr>
          <w:i/>
          <w:iCs/>
        </w:rPr>
        <w:t>ime</w:t>
      </w:r>
    </w:p>
    <w:p w14:paraId="4EC6C6C4" w14:textId="774D139A" w:rsidR="00D605BD" w:rsidRPr="00BD472F" w:rsidRDefault="00D605BD" w:rsidP="00D605BD">
      <w:pPr>
        <w:spacing w:line="480" w:lineRule="auto"/>
        <w:rPr>
          <w:b/>
          <w:bCs/>
        </w:rPr>
      </w:pPr>
      <w:r w:rsidRPr="00BD472F">
        <w:rPr>
          <w:b/>
          <w:bCs/>
          <w:noProof/>
        </w:rPr>
        <w:drawing>
          <wp:inline distT="0" distB="0" distL="0" distR="0" wp14:anchorId="44D8A498" wp14:editId="62FE3AC9">
            <wp:extent cx="5486400" cy="4572000"/>
            <wp:effectExtent l="0" t="0" r="0" b="0"/>
            <wp:docPr id="409750683" name="Picture 1" descr="Ecological Momentary Assessment Psychological Distress by Group Ov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50683" name="Picture 1" descr="Ecological Momentary Assessment Psychological Distress by Group Over Time"/>
                    <pic:cNvPicPr/>
                  </pic:nvPicPr>
                  <pic:blipFill>
                    <a:blip r:embed="rId12"/>
                    <a:stretch>
                      <a:fillRect/>
                    </a:stretch>
                  </pic:blipFill>
                  <pic:spPr>
                    <a:xfrm>
                      <a:off x="0" y="0"/>
                      <a:ext cx="5486400" cy="4572000"/>
                    </a:xfrm>
                    <a:prstGeom prst="rect">
                      <a:avLst/>
                    </a:prstGeom>
                  </pic:spPr>
                </pic:pic>
              </a:graphicData>
            </a:graphic>
          </wp:inline>
        </w:drawing>
      </w:r>
    </w:p>
    <w:p w14:paraId="2E83573D" w14:textId="69557AAF" w:rsidR="00F90792" w:rsidRPr="00BD472F" w:rsidRDefault="00D605BD" w:rsidP="00D605BD">
      <w:pPr>
        <w:spacing w:line="480" w:lineRule="auto"/>
        <w:sectPr w:rsidR="00F90792" w:rsidRPr="00BD472F" w:rsidSect="00CB3B38">
          <w:pgSz w:w="12240" w:h="15840"/>
          <w:pgMar w:top="1440" w:right="1440" w:bottom="1440" w:left="1440" w:header="720" w:footer="720" w:gutter="0"/>
          <w:cols w:space="720"/>
          <w:docGrid w:linePitch="360"/>
        </w:sectPr>
      </w:pPr>
      <w:r w:rsidRPr="00BD472F">
        <w:rPr>
          <w:i/>
          <w:iCs/>
        </w:rPr>
        <w:t>Note</w:t>
      </w:r>
      <w:r w:rsidRPr="00BD472F">
        <w:t xml:space="preserve">. Dosage Group = assigned daily meditation practice dosage condition; High = 15-minutes per day; Low = 5-minutes per day. Ecological momentary assessment (EMA) psychological distress assessed via separate items (Moore et al., 2016) for depression (“I felt depressed”) and anxiety (“I felt anxious”), based on participants’ experience in the last 15 minutes. EMA was delivered four times per day for 28 days. Distress ratings are aggregated to the day level for visualization purposes only. Time x group interaction was </w:t>
      </w:r>
      <w:r w:rsidR="00856842" w:rsidRPr="00BD472F">
        <w:t xml:space="preserve">not significant in the multilevel model (interaction </w:t>
      </w:r>
      <w:r w:rsidR="00856842" w:rsidRPr="00BD472F">
        <w:rPr>
          <w:i/>
          <w:iCs/>
        </w:rPr>
        <w:t xml:space="preserve">b </w:t>
      </w:r>
      <w:r w:rsidR="00856842" w:rsidRPr="00BD472F">
        <w:t xml:space="preserve">= 0.012, </w:t>
      </w:r>
      <w:r w:rsidR="00856842" w:rsidRPr="00BD472F">
        <w:rPr>
          <w:i/>
          <w:iCs/>
        </w:rPr>
        <w:t xml:space="preserve">SE </w:t>
      </w:r>
      <w:r w:rsidR="00856842" w:rsidRPr="00BD472F">
        <w:t xml:space="preserve">= 0.0082, </w:t>
      </w:r>
      <w:r w:rsidR="00856842" w:rsidRPr="00BD472F">
        <w:rPr>
          <w:i/>
          <w:iCs/>
        </w:rPr>
        <w:t xml:space="preserve">t </w:t>
      </w:r>
      <w:r w:rsidR="00856842" w:rsidRPr="00BD472F">
        <w:t xml:space="preserve">= 1.46, </w:t>
      </w:r>
      <w:r w:rsidR="00856842" w:rsidRPr="00BD472F">
        <w:rPr>
          <w:i/>
          <w:iCs/>
        </w:rPr>
        <w:t>p</w:t>
      </w:r>
      <w:r w:rsidR="00856842" w:rsidRPr="00BD472F">
        <w:t xml:space="preserve"> = .147).</w:t>
      </w:r>
    </w:p>
    <w:p w14:paraId="28CE2214" w14:textId="4BD36401" w:rsidR="00F765C7" w:rsidRDefault="00F765C7" w:rsidP="00F765C7">
      <w:pPr>
        <w:pStyle w:val="Heading2"/>
      </w:pPr>
      <w:r>
        <w:lastRenderedPageBreak/>
        <w:t>Supplemental Materials</w:t>
      </w:r>
    </w:p>
    <w:p w14:paraId="58E9C6DD" w14:textId="2AF23453" w:rsidR="00E632B1" w:rsidRPr="00BD472F" w:rsidRDefault="00E632B1" w:rsidP="00F765C7">
      <w:r w:rsidRPr="00BD472F">
        <w:t xml:space="preserve">Supplemental Materials Table </w:t>
      </w:r>
      <w:r w:rsidR="0059181E" w:rsidRPr="00BD472F">
        <w:t>1</w:t>
      </w:r>
    </w:p>
    <w:p w14:paraId="697D81D9" w14:textId="7C5B9319" w:rsidR="00E632B1" w:rsidRPr="00BD472F" w:rsidRDefault="00E632B1" w:rsidP="00D71D08">
      <w:pPr>
        <w:spacing w:line="480" w:lineRule="auto"/>
        <w:rPr>
          <w:i/>
          <w:iCs/>
        </w:rPr>
      </w:pPr>
      <w:r w:rsidRPr="00BD472F">
        <w:rPr>
          <w:i/>
          <w:iCs/>
        </w:rPr>
        <w:t>Example 5- and 15-</w:t>
      </w:r>
      <w:r w:rsidR="00171930" w:rsidRPr="00BD472F">
        <w:rPr>
          <w:i/>
          <w:iCs/>
        </w:rPr>
        <w:t>M</w:t>
      </w:r>
      <w:r w:rsidRPr="00BD472F">
        <w:rPr>
          <w:i/>
          <w:iCs/>
        </w:rPr>
        <w:t>inute Guided Meditation Scripts</w:t>
      </w:r>
    </w:p>
    <w:p w14:paraId="297605B0" w14:textId="4497D902" w:rsidR="00E632B1" w:rsidRPr="00BD472F" w:rsidRDefault="00E632B1" w:rsidP="00F765C7">
      <w:r w:rsidRPr="00BD472F">
        <w:t>The Skill of Mindfulness</w:t>
      </w:r>
      <w:r w:rsidR="00171930" w:rsidRPr="00BD472F">
        <w:t>: 5-Minute Version</w:t>
      </w:r>
    </w:p>
    <w:p w14:paraId="1586688A" w14:textId="2EBA9547" w:rsidR="00E632B1" w:rsidRPr="00BD472F" w:rsidRDefault="00E632B1" w:rsidP="00E632B1">
      <w:pPr>
        <w:spacing w:line="480" w:lineRule="auto"/>
        <w:ind w:firstLine="720"/>
      </w:pPr>
      <w:r w:rsidRPr="00BD472F">
        <w:t xml:space="preserve">Hi, this is [name]. Great to have </w:t>
      </w:r>
      <w:proofErr w:type="gramStart"/>
      <w:r w:rsidRPr="00BD472F">
        <w:t>you</w:t>
      </w:r>
      <w:proofErr w:type="gramEnd"/>
      <w:r w:rsidRPr="00BD472F">
        <w:t xml:space="preserve"> back. In this practice we’re going to work on mindfulness - one of the three key skills that strengthen awareness. Mindfulness is all about our ability to be fully present and aware, and less on autopilot: less driven by automatic habits and impulses. For the next few </w:t>
      </w:r>
      <w:proofErr w:type="gramStart"/>
      <w:r w:rsidRPr="00BD472F">
        <w:t>minutes</w:t>
      </w:r>
      <w:proofErr w:type="gramEnd"/>
      <w:r w:rsidRPr="00BD472F">
        <w:t xml:space="preserve"> we’ll use the experience of breathing to learn and practice this skill. </w:t>
      </w:r>
    </w:p>
    <w:p w14:paraId="4309DB95" w14:textId="65B6C060" w:rsidR="00E632B1" w:rsidRPr="00BD472F" w:rsidRDefault="00E632B1" w:rsidP="00E632B1">
      <w:pPr>
        <w:spacing w:line="480" w:lineRule="auto"/>
        <w:ind w:firstLine="720"/>
      </w:pPr>
      <w:r w:rsidRPr="00BD472F">
        <w:t>You can start by finding a comfortable posture. Feel free to close your eyes if you like, or keep them gently open, and take a few slow, deep breaths.</w:t>
      </w:r>
    </w:p>
    <w:p w14:paraId="330F9A3D" w14:textId="76FB393D" w:rsidR="00E632B1" w:rsidRPr="00BD472F" w:rsidRDefault="00E632B1" w:rsidP="00E632B1">
      <w:pPr>
        <w:spacing w:line="480" w:lineRule="auto"/>
        <w:ind w:firstLine="720"/>
      </w:pPr>
      <w:r w:rsidRPr="00BD472F">
        <w:t>Great. Let’s move on. There are three steps in this practice. Counting the breath, feeling the breath, and being with the breath. Let’s start with counting. Breathe normally and count in your mind after each exhalation. Inhale, exhale, 1. Inhale, exhale, 2. And so on, up to three full breaths. Then begin again at one. As you do this, see if you can allow your mind to rest as you gently count each breath.</w:t>
      </w:r>
    </w:p>
    <w:p w14:paraId="57717799" w14:textId="6E36A6D1" w:rsidR="00E632B1" w:rsidRPr="00BD472F" w:rsidRDefault="00E632B1" w:rsidP="00E632B1">
      <w:pPr>
        <w:spacing w:line="480" w:lineRule="auto"/>
        <w:ind w:firstLine="720"/>
      </w:pPr>
      <w:r w:rsidRPr="00BD472F">
        <w:t xml:space="preserve">Practicing mindfulness is the skill of being fully aware and present </w:t>
      </w:r>
      <w:r w:rsidRPr="00BD472F">
        <w:rPr>
          <w:u w:val="single"/>
        </w:rPr>
        <w:t>with intention</w:t>
      </w:r>
      <w:r w:rsidRPr="00BD472F">
        <w:t xml:space="preserve">. That’s what we’re doing here. Now let’s try letting go of the counting and move on to the second step - feeling the sensations of the breath. </w:t>
      </w:r>
      <w:proofErr w:type="gramStart"/>
      <w:r w:rsidRPr="00BD472F">
        <w:t>So</w:t>
      </w:r>
      <w:proofErr w:type="gramEnd"/>
      <w:r w:rsidRPr="00BD472F">
        <w:t xml:space="preserve"> drop the </w:t>
      </w:r>
      <w:proofErr w:type="gramStart"/>
      <w:r w:rsidRPr="00BD472F">
        <w:t>count, but</w:t>
      </w:r>
      <w:proofErr w:type="gramEnd"/>
      <w:r w:rsidRPr="00BD472F">
        <w:t xml:space="preserve"> notice where you feel the sensations of your breath most clearly and allow your awareness to rest on these sensations. Just stay with the intention to be fully present with each passing breath.</w:t>
      </w:r>
    </w:p>
    <w:p w14:paraId="2524D03E" w14:textId="77777777" w:rsidR="00E632B1" w:rsidRPr="00BD472F" w:rsidRDefault="00E632B1" w:rsidP="00E632B1">
      <w:pPr>
        <w:spacing w:line="480" w:lineRule="auto"/>
      </w:pPr>
      <w:r w:rsidRPr="00BD472F">
        <w:br/>
      </w:r>
    </w:p>
    <w:p w14:paraId="5E958445" w14:textId="5CD0B764" w:rsidR="00BA5E38" w:rsidRPr="00BD472F" w:rsidRDefault="00E632B1" w:rsidP="00171930">
      <w:pPr>
        <w:spacing w:line="480" w:lineRule="auto"/>
        <w:ind w:firstLine="720"/>
      </w:pPr>
      <w:r w:rsidRPr="00BD472F">
        <w:lastRenderedPageBreak/>
        <w:t>Now we will move on to the third step – being with the breath. There’s no effort required here at all. No need to focus or concentrate. If you know you’re breathing, that’s it. You’re doing it. </w:t>
      </w:r>
      <w:proofErr w:type="gramStart"/>
      <w:r w:rsidRPr="00BD472F">
        <w:t>So</w:t>
      </w:r>
      <w:proofErr w:type="gramEnd"/>
      <w:r w:rsidRPr="00BD472F">
        <w:t xml:space="preserve"> drop all the mental effort now and simply breathe.</w:t>
      </w:r>
    </w:p>
    <w:p w14:paraId="6EE0DBA1" w14:textId="77777777" w:rsidR="00171930" w:rsidRPr="00BD472F" w:rsidRDefault="00BA5E38" w:rsidP="00171930">
      <w:pPr>
        <w:spacing w:line="480" w:lineRule="auto"/>
        <w:ind w:firstLine="720"/>
      </w:pPr>
      <w:r w:rsidRPr="00BD472F">
        <w:t>For the last few moments, slowly open your eyes if they’re closed. Move your fingers and toes. Look around...and take in everything you see and hear.</w:t>
      </w:r>
      <w:r w:rsidR="00171930" w:rsidRPr="00BD472F">
        <w:t xml:space="preserve"> </w:t>
      </w:r>
    </w:p>
    <w:p w14:paraId="42701C22" w14:textId="5159C375" w:rsidR="00171930" w:rsidRPr="00BD472F" w:rsidRDefault="00E632B1" w:rsidP="00171930">
      <w:pPr>
        <w:spacing w:line="480" w:lineRule="auto"/>
        <w:ind w:firstLine="720"/>
      </w:pPr>
      <w:r w:rsidRPr="00BD472F">
        <w:t>See if you can add a few moments of mindfulness to whatever comes next in your day. Wherever you are, whatever you’re doing, just pause from time to time...breathe...and reconnect with your intention to be present and aware.</w:t>
      </w:r>
    </w:p>
    <w:p w14:paraId="49778C24" w14:textId="7D74EC54" w:rsidR="00171930" w:rsidRPr="00BD472F" w:rsidRDefault="00171930" w:rsidP="00F765C7">
      <w:r w:rsidRPr="00BD472F">
        <w:t>The Skill of Mindfulness: 15-Minute Version</w:t>
      </w:r>
    </w:p>
    <w:p w14:paraId="2BDFF0D8" w14:textId="77777777" w:rsidR="00171930" w:rsidRPr="00BD472F" w:rsidRDefault="00171930" w:rsidP="00171930">
      <w:pPr>
        <w:spacing w:line="480" w:lineRule="auto"/>
        <w:ind w:firstLine="720"/>
      </w:pPr>
      <w:r w:rsidRPr="00BD472F">
        <w:t xml:space="preserve">Hi, this is [name]. Great to have </w:t>
      </w:r>
      <w:proofErr w:type="gramStart"/>
      <w:r w:rsidRPr="00BD472F">
        <w:t>you</w:t>
      </w:r>
      <w:proofErr w:type="gramEnd"/>
      <w:r w:rsidRPr="00BD472F">
        <w:t xml:space="preserve"> back. In this practice we’re going to work on mindfulness - one of the three key skills that strengthen awareness. Mindfulness is all about our ability to be fully present and aware, and less on autopilot: less driven by automatic habits and impulses. For the next few </w:t>
      </w:r>
      <w:proofErr w:type="gramStart"/>
      <w:r w:rsidRPr="00BD472F">
        <w:t>minutes</w:t>
      </w:r>
      <w:proofErr w:type="gramEnd"/>
      <w:r w:rsidRPr="00BD472F">
        <w:t xml:space="preserve"> we’ll use the experience of breathing to learn and practice this skill. </w:t>
      </w:r>
    </w:p>
    <w:p w14:paraId="492751AE" w14:textId="77777777" w:rsidR="00171930" w:rsidRPr="00BD472F" w:rsidRDefault="00171930" w:rsidP="00171930">
      <w:pPr>
        <w:spacing w:line="480" w:lineRule="auto"/>
        <w:ind w:firstLine="720"/>
      </w:pPr>
      <w:r w:rsidRPr="00BD472F">
        <w:t>You can start by finding a comfortable posture. Feel free to close your eyes if you like, or keep them gently open, and take a few slow, deep breaths.</w:t>
      </w:r>
    </w:p>
    <w:p w14:paraId="53132B5E" w14:textId="50E321B4" w:rsidR="00481871" w:rsidRPr="00BD472F" w:rsidRDefault="00481871" w:rsidP="00481871">
      <w:pPr>
        <w:spacing w:line="480" w:lineRule="auto"/>
        <w:ind w:firstLine="720"/>
      </w:pPr>
      <w:r w:rsidRPr="00BD472F">
        <w:t>Next, let your breathing return to its normal pace and reflect on why you’re doing this practice. See if you can find a motivation that really inspires you and gets you thinking about the bigger picture. You might think to yourself, “May these few minutes of practice not only help me - may they also help bring more emotional balance into the world.” Do whatever feels natural here and see if you can find an uplifting motivation to guide your practice.</w:t>
      </w:r>
    </w:p>
    <w:p w14:paraId="0475576E" w14:textId="77777777" w:rsidR="00171930" w:rsidRPr="00BD472F" w:rsidRDefault="00171930" w:rsidP="00171930">
      <w:pPr>
        <w:spacing w:line="480" w:lineRule="auto"/>
        <w:ind w:firstLine="720"/>
      </w:pPr>
      <w:r w:rsidRPr="00BD472F">
        <w:t xml:space="preserve">Great. Let’s move on. There are three steps in this practice. Counting the breath, feeling the breath, and being with the breath. Let’s start with counting. Breathe normally and count in your mind after each exhalation. Inhale, exhale, 1. Inhale, exhale, 2. And so on, up to three full </w:t>
      </w:r>
      <w:r w:rsidRPr="00BD472F">
        <w:lastRenderedPageBreak/>
        <w:t>breaths. Then begin again at one. As you do this, see if you can allow your mind to rest as you gently count each breath.</w:t>
      </w:r>
    </w:p>
    <w:p w14:paraId="269C1F1B" w14:textId="77777777" w:rsidR="00481871" w:rsidRPr="00BD472F" w:rsidRDefault="00481871" w:rsidP="00481871">
      <w:pPr>
        <w:spacing w:line="480" w:lineRule="auto"/>
        <w:ind w:firstLine="720"/>
      </w:pPr>
      <w:r w:rsidRPr="00BD472F">
        <w:t>Whatever you’re feeling right now is perfectly fine. If you’re calm and relaxed. Great. And if you’re agitated and restless, or even bored...that’s fine too. You really cannot do this wrong. All you have to do is stay with the intention to be present and aware. So, continue to count each breath and see if you can stay open to whatever is happening in your mind and body in this moment. Let’s do this for a little longer this time.</w:t>
      </w:r>
    </w:p>
    <w:p w14:paraId="3321B956" w14:textId="032E69C3" w:rsidR="00481871" w:rsidRPr="00BD472F" w:rsidRDefault="00481871" w:rsidP="00481871">
      <w:pPr>
        <w:spacing w:line="480" w:lineRule="auto"/>
        <w:ind w:firstLine="720"/>
      </w:pPr>
      <w:r w:rsidRPr="00BD472F">
        <w:t xml:space="preserve">Every breath is a new opportunity to reconnect with the present moment. When we practice mindfulness, all we’re doing is </w:t>
      </w:r>
      <w:proofErr w:type="gramStart"/>
      <w:r w:rsidRPr="00BD472F">
        <w:t>returning</w:t>
      </w:r>
      <w:proofErr w:type="gramEnd"/>
      <w:r w:rsidRPr="00BD472F">
        <w:t xml:space="preserve"> to what’s </w:t>
      </w:r>
      <w:proofErr w:type="gramStart"/>
      <w:r w:rsidRPr="00BD472F">
        <w:t>happening in the</w:t>
      </w:r>
      <w:proofErr w:type="gramEnd"/>
      <w:r w:rsidRPr="00BD472F">
        <w:t xml:space="preserve"> here and now, </w:t>
      </w:r>
      <w:proofErr w:type="gramStart"/>
      <w:r w:rsidRPr="00BD472F">
        <w:t>again and again</w:t>
      </w:r>
      <w:proofErr w:type="gramEnd"/>
      <w:r w:rsidRPr="00BD472F">
        <w:t xml:space="preserve">...and like any new skill, the more we do it, the easier it gets. </w:t>
      </w:r>
      <w:proofErr w:type="gramStart"/>
      <w:r w:rsidRPr="00BD472F">
        <w:t>So</w:t>
      </w:r>
      <w:proofErr w:type="gramEnd"/>
      <w:r w:rsidRPr="00BD472F">
        <w:t xml:space="preserve"> keep going.</w:t>
      </w:r>
    </w:p>
    <w:p w14:paraId="35DBD012" w14:textId="269622B6" w:rsidR="00481871" w:rsidRPr="00BD472F" w:rsidRDefault="00481871" w:rsidP="00481871">
      <w:pPr>
        <w:spacing w:line="480" w:lineRule="auto"/>
        <w:ind w:firstLine="720"/>
      </w:pPr>
      <w:r w:rsidRPr="00BD472F">
        <w:t>Continue counting in your mind after each exhale and experience whatever is happening in this moment fully and completely. I’ll leave you to it for a full minute this time.</w:t>
      </w:r>
    </w:p>
    <w:p w14:paraId="458A6D24" w14:textId="77777777" w:rsidR="00481871" w:rsidRPr="00BD472F" w:rsidRDefault="00171930" w:rsidP="00481871">
      <w:pPr>
        <w:spacing w:line="480" w:lineRule="auto"/>
        <w:ind w:firstLine="720"/>
      </w:pPr>
      <w:r w:rsidRPr="00BD472F">
        <w:t xml:space="preserve">Practicing mindfulness is the skill of being fully aware and present </w:t>
      </w:r>
      <w:r w:rsidRPr="00BD472F">
        <w:rPr>
          <w:u w:val="single"/>
        </w:rPr>
        <w:t>with intention</w:t>
      </w:r>
      <w:r w:rsidRPr="00BD472F">
        <w:t xml:space="preserve">. That’s what we’re doing here. Now let’s try letting go of the counting and move on to the second step - feeling the sensations of the breath. </w:t>
      </w:r>
      <w:proofErr w:type="gramStart"/>
      <w:r w:rsidRPr="00BD472F">
        <w:t>So</w:t>
      </w:r>
      <w:proofErr w:type="gramEnd"/>
      <w:r w:rsidRPr="00BD472F">
        <w:t xml:space="preserve"> drop the </w:t>
      </w:r>
      <w:proofErr w:type="gramStart"/>
      <w:r w:rsidRPr="00BD472F">
        <w:t>count, but</w:t>
      </w:r>
      <w:proofErr w:type="gramEnd"/>
      <w:r w:rsidRPr="00BD472F">
        <w:t xml:space="preserve"> notice where you feel the sensations of your breath most clearly and allow your awareness to rest on these sensations. Just stay with the intention to be fully present with each passing breath.</w:t>
      </w:r>
    </w:p>
    <w:p w14:paraId="3F949D73" w14:textId="77777777" w:rsidR="00481871" w:rsidRPr="00BD472F" w:rsidRDefault="00481871" w:rsidP="00481871">
      <w:pPr>
        <w:spacing w:line="480" w:lineRule="auto"/>
        <w:ind w:firstLine="720"/>
      </w:pPr>
      <w:r w:rsidRPr="00BD472F">
        <w:t xml:space="preserve">It is completely natural to get distracted from time to time. Noticing moments of distraction is </w:t>
      </w:r>
      <w:proofErr w:type="gramStart"/>
      <w:r w:rsidRPr="00BD472F">
        <w:t>actually a</w:t>
      </w:r>
      <w:proofErr w:type="gramEnd"/>
      <w:r w:rsidRPr="00BD472F">
        <w:t xml:space="preserve"> key part of mindfulness practice. The more you notice distraction here, the easier it will be to notice distraction in your everyday life. Let’s try this for a little longer. Continue to rest your awareness on the sensations of your breath, and when your mind wanders away, gently bring it back and pick up where you left off.</w:t>
      </w:r>
    </w:p>
    <w:p w14:paraId="061AEB7B" w14:textId="48A36633" w:rsidR="00481871" w:rsidRPr="00BD472F" w:rsidRDefault="00481871" w:rsidP="00481871">
      <w:pPr>
        <w:spacing w:line="480" w:lineRule="auto"/>
        <w:ind w:firstLine="720"/>
      </w:pPr>
      <w:r w:rsidRPr="00BD472F">
        <w:lastRenderedPageBreak/>
        <w:t>Great. Next, see if you can notice more of what it feels like to breathe. You might notice all that happens in your body with each passing breath, or perhaps how your body relaxes a bit every time you exhale. </w:t>
      </w:r>
    </w:p>
    <w:p w14:paraId="49C5B4D6" w14:textId="77777777" w:rsidR="00481871" w:rsidRPr="00BD472F" w:rsidRDefault="00481871" w:rsidP="00481871">
      <w:pPr>
        <w:spacing w:line="480" w:lineRule="auto"/>
        <w:ind w:firstLine="720"/>
      </w:pPr>
      <w:r w:rsidRPr="00BD472F">
        <w:t xml:space="preserve">This should be almost effortless. There’s no need to focus too hard. Simply notice what happens as you track each breath from start to finish. Allow your breath to bring you fully into this moment. We’ll do this for another minute or so. </w:t>
      </w:r>
    </w:p>
    <w:p w14:paraId="321BFA37" w14:textId="0BAD8325" w:rsidR="00481871" w:rsidRPr="00BD472F" w:rsidRDefault="00481871" w:rsidP="00481871">
      <w:pPr>
        <w:spacing w:line="480" w:lineRule="auto"/>
        <w:ind w:firstLine="720"/>
      </w:pPr>
      <w:r w:rsidRPr="00BD472F">
        <w:t xml:space="preserve">Again, don’t worry if you notice your mind wandering into distraction. That’s natural. Every moment that you notice what’s happening in your mind is a moment of mindfulness. This is the skill. We’re noticing what is happening in the present moment, and we're doing this with intention. </w:t>
      </w:r>
      <w:proofErr w:type="gramStart"/>
      <w:r w:rsidRPr="00BD472F">
        <w:t>Continue on</w:t>
      </w:r>
      <w:proofErr w:type="gramEnd"/>
      <w:r w:rsidRPr="00BD472F">
        <w:t xml:space="preserve"> for a while longer, continue to notice the sensations of each passing breath.</w:t>
      </w:r>
    </w:p>
    <w:p w14:paraId="7C1A2EC1" w14:textId="77777777" w:rsidR="00171930" w:rsidRPr="00BD472F" w:rsidRDefault="00171930" w:rsidP="00171930">
      <w:pPr>
        <w:spacing w:line="480" w:lineRule="auto"/>
        <w:ind w:firstLine="720"/>
      </w:pPr>
      <w:r w:rsidRPr="00BD472F">
        <w:t>Now we will move on to the third step – being with the breath. There’s no effort required here at all. No need to focus or concentrate. If you know you’re breathing, that’s it. You’re doing it. </w:t>
      </w:r>
      <w:proofErr w:type="gramStart"/>
      <w:r w:rsidRPr="00BD472F">
        <w:t>So</w:t>
      </w:r>
      <w:proofErr w:type="gramEnd"/>
      <w:r w:rsidRPr="00BD472F">
        <w:t xml:space="preserve"> drop all the mental effort now and simply breathe.</w:t>
      </w:r>
    </w:p>
    <w:p w14:paraId="098C2F4F" w14:textId="5DCBC301" w:rsidR="00481871" w:rsidRPr="00BD472F" w:rsidRDefault="00481871" w:rsidP="00481871">
      <w:pPr>
        <w:spacing w:line="480" w:lineRule="auto"/>
        <w:ind w:firstLine="720"/>
      </w:pPr>
      <w:r w:rsidRPr="00BD472F">
        <w:t xml:space="preserve">This part of the practice was confusing when I first learned to meditate. We all know what it’s like to </w:t>
      </w:r>
      <w:r w:rsidRPr="00BD472F">
        <w:rPr>
          <w:u w:val="single"/>
        </w:rPr>
        <w:t>do</w:t>
      </w:r>
      <w:r w:rsidRPr="00BD472F">
        <w:t xml:space="preserve">, but how do you simply be? Remember, your body already knows how to breathe. Your mind already knows how to be aware. You don’t have to make any of this happen. </w:t>
      </w:r>
      <w:proofErr w:type="gramStart"/>
      <w:r w:rsidRPr="00BD472F">
        <w:t>So</w:t>
      </w:r>
      <w:proofErr w:type="gramEnd"/>
      <w:r w:rsidRPr="00BD472F">
        <w:t xml:space="preserve"> drop the effort. Drop the impulse to control anything. And allow yourself to settle into the natural rhythm of breathing.</w:t>
      </w:r>
    </w:p>
    <w:p w14:paraId="0F9B4ED7" w14:textId="77777777" w:rsidR="00481871" w:rsidRPr="00BD472F" w:rsidRDefault="00481871" w:rsidP="00481871">
      <w:pPr>
        <w:spacing w:line="480" w:lineRule="auto"/>
        <w:ind w:firstLine="720"/>
      </w:pPr>
      <w:r w:rsidRPr="00BD472F">
        <w:t xml:space="preserve">Next, use whichever of these three steps worked best for you. You can count your breath, you can rest your awareness on the sensations of </w:t>
      </w:r>
      <w:proofErr w:type="gramStart"/>
      <w:r w:rsidRPr="00BD472F">
        <w:t>breathing, or</w:t>
      </w:r>
      <w:proofErr w:type="gramEnd"/>
      <w:r w:rsidRPr="00BD472F">
        <w:t xml:space="preserve"> let go and simply be with your breath. Do whatever works best for you.</w:t>
      </w:r>
    </w:p>
    <w:p w14:paraId="40BF06E0" w14:textId="77777777" w:rsidR="00481871" w:rsidRPr="00BD472F" w:rsidRDefault="00481871" w:rsidP="00481871">
      <w:pPr>
        <w:spacing w:line="480" w:lineRule="auto"/>
        <w:ind w:firstLine="720"/>
      </w:pPr>
      <w:r w:rsidRPr="00BD472F">
        <w:lastRenderedPageBreak/>
        <w:t xml:space="preserve">If you find it helpful, you can keep going as you are, or you can switch it up and try something different. And remember...distraction, or feeling restless...this is all part of the process. The important thing here is intention - whatever happens, we’re doing just great if we intend to be mindful of what’s happening in this moment. </w:t>
      </w:r>
      <w:proofErr w:type="gramStart"/>
      <w:r w:rsidRPr="00BD472F">
        <w:t>So</w:t>
      </w:r>
      <w:proofErr w:type="gramEnd"/>
      <w:r w:rsidRPr="00BD472F">
        <w:t xml:space="preserve"> continue to use whichever approach suits you best. Explore, and see what you notice.</w:t>
      </w:r>
    </w:p>
    <w:p w14:paraId="2F787779" w14:textId="77777777" w:rsidR="00481871" w:rsidRPr="00BD472F" w:rsidRDefault="00171930" w:rsidP="00481871">
      <w:pPr>
        <w:spacing w:line="480" w:lineRule="auto"/>
        <w:ind w:firstLine="720"/>
      </w:pPr>
      <w:r w:rsidRPr="00BD472F">
        <w:t xml:space="preserve">For the last few moments, slowly open your eyes if they’re closed. Move your fingers and toes. Look around...and take in everything you see and hear. </w:t>
      </w:r>
    </w:p>
    <w:p w14:paraId="13809C66" w14:textId="7DC2A673" w:rsidR="00171930" w:rsidRPr="00BD472F" w:rsidRDefault="00481871" w:rsidP="00481871">
      <w:pPr>
        <w:spacing w:line="480" w:lineRule="auto"/>
        <w:ind w:firstLine="720"/>
      </w:pPr>
      <w:r w:rsidRPr="00BD472F">
        <w:t>Practicing mindfulness puts us in touch with the full range of human experience. Here we used our breath as a support, but probably many other things happened. Maybe you got bored or restless, or maybe you were calm and content. In any case... this is all part of the process, and it will be different tomorrow. </w:t>
      </w:r>
    </w:p>
    <w:p w14:paraId="10EAA62F" w14:textId="47FCB950" w:rsidR="00171930" w:rsidRPr="00BD472F" w:rsidRDefault="00171930" w:rsidP="00171930">
      <w:pPr>
        <w:spacing w:line="480" w:lineRule="auto"/>
        <w:ind w:firstLine="720"/>
        <w:sectPr w:rsidR="00171930" w:rsidRPr="00BD472F" w:rsidSect="00BA5E38">
          <w:pgSz w:w="12240" w:h="15840"/>
          <w:pgMar w:top="1440" w:right="1440" w:bottom="1440" w:left="1440" w:header="720" w:footer="720" w:gutter="0"/>
          <w:cols w:space="720"/>
          <w:docGrid w:linePitch="360"/>
        </w:sectPr>
      </w:pPr>
      <w:r w:rsidRPr="00BD472F">
        <w:t>See if you can add a few moments of mindfulness to whatever comes next in your day. Wherever you are, whatever you’re doing, just pause from time to time...breathe...and reconnect with your intention to be present and aware.</w:t>
      </w:r>
    </w:p>
    <w:p w14:paraId="0F2DDEE7" w14:textId="5F065501" w:rsidR="00D71D08" w:rsidRPr="00BD472F" w:rsidRDefault="00D71D08" w:rsidP="00D71D08">
      <w:pPr>
        <w:spacing w:line="480" w:lineRule="auto"/>
        <w:rPr>
          <w:b/>
          <w:bCs/>
        </w:rPr>
      </w:pPr>
      <w:r w:rsidRPr="00BD472F">
        <w:rPr>
          <w:b/>
          <w:bCs/>
        </w:rPr>
        <w:lastRenderedPageBreak/>
        <w:t xml:space="preserve">Supplemental </w:t>
      </w:r>
      <w:r w:rsidR="00DF14CE" w:rsidRPr="00BD472F">
        <w:rPr>
          <w:b/>
          <w:bCs/>
        </w:rPr>
        <w:t xml:space="preserve">Materials </w:t>
      </w:r>
      <w:r w:rsidRPr="00BD472F">
        <w:rPr>
          <w:b/>
          <w:bCs/>
        </w:rPr>
        <w:t xml:space="preserve">Table </w:t>
      </w:r>
      <w:r w:rsidR="0059181E" w:rsidRPr="00BD472F">
        <w:rPr>
          <w:b/>
          <w:bCs/>
        </w:rPr>
        <w:t>2</w:t>
      </w:r>
    </w:p>
    <w:p w14:paraId="6B1930EA" w14:textId="291BB19B" w:rsidR="00D71D08" w:rsidRPr="00BD472F" w:rsidRDefault="00D71D08" w:rsidP="00D71D08">
      <w:pPr>
        <w:spacing w:line="480" w:lineRule="auto"/>
        <w:rPr>
          <w:i/>
          <w:iCs/>
        </w:rPr>
      </w:pPr>
      <w:r w:rsidRPr="00BD472F">
        <w:rPr>
          <w:i/>
          <w:iCs/>
        </w:rPr>
        <w:t>Health</w:t>
      </w:r>
      <w:r w:rsidR="00A87E90" w:rsidRPr="00BD472F">
        <w:rPr>
          <w:i/>
          <w:iCs/>
        </w:rPr>
        <w:t>y</w:t>
      </w:r>
      <w:r w:rsidRPr="00BD472F">
        <w:rPr>
          <w:i/>
          <w:iCs/>
        </w:rPr>
        <w:t xml:space="preserve"> Minds Program (HMP) </w:t>
      </w:r>
      <w:r w:rsidR="005279E3" w:rsidRPr="00BD472F">
        <w:rPr>
          <w:i/>
          <w:iCs/>
        </w:rPr>
        <w:t>A</w:t>
      </w:r>
      <w:r w:rsidRPr="00BD472F">
        <w:rPr>
          <w:i/>
          <w:iCs/>
        </w:rPr>
        <w:t xml:space="preserve">pp </w:t>
      </w:r>
      <w:r w:rsidR="005279E3" w:rsidRPr="00BD472F">
        <w:rPr>
          <w:i/>
          <w:iCs/>
        </w:rPr>
        <w:t>U</w:t>
      </w:r>
      <w:r w:rsidRPr="00BD472F">
        <w:rPr>
          <w:i/>
          <w:iCs/>
        </w:rPr>
        <w:t xml:space="preserve">sage by </w:t>
      </w:r>
      <w:r w:rsidR="005279E3" w:rsidRPr="00BD472F">
        <w:rPr>
          <w:i/>
          <w:iCs/>
        </w:rPr>
        <w:t>G</w:t>
      </w:r>
      <w:r w:rsidRPr="00BD472F">
        <w:rPr>
          <w:i/>
          <w:iCs/>
        </w:rPr>
        <w:t>roup</w:t>
      </w:r>
    </w:p>
    <w:tbl>
      <w:tblPr>
        <w:tblW w:w="0" w:type="auto"/>
        <w:tblBorders>
          <w:top w:val="single" w:sz="4" w:space="0" w:color="auto"/>
          <w:bottom w:val="single" w:sz="4" w:space="0" w:color="auto"/>
        </w:tblBorders>
        <w:tblLook w:val="04A0" w:firstRow="1" w:lastRow="0" w:firstColumn="1" w:lastColumn="0" w:noHBand="0" w:noVBand="1"/>
      </w:tblPr>
      <w:tblGrid>
        <w:gridCol w:w="1476"/>
        <w:gridCol w:w="1150"/>
        <w:gridCol w:w="456"/>
        <w:gridCol w:w="876"/>
        <w:gridCol w:w="876"/>
        <w:gridCol w:w="617"/>
        <w:gridCol w:w="656"/>
        <w:gridCol w:w="750"/>
        <w:gridCol w:w="1030"/>
      </w:tblGrid>
      <w:tr w:rsidR="00D71D08" w:rsidRPr="00BD472F" w14:paraId="4534D9F0" w14:textId="77777777" w:rsidTr="001D6318">
        <w:trPr>
          <w:trHeight w:val="320"/>
        </w:trPr>
        <w:tc>
          <w:tcPr>
            <w:tcW w:w="0" w:type="auto"/>
            <w:tcBorders>
              <w:top w:val="single" w:sz="4" w:space="0" w:color="auto"/>
              <w:bottom w:val="single" w:sz="4" w:space="0" w:color="auto"/>
            </w:tcBorders>
            <w:noWrap/>
            <w:vAlign w:val="bottom"/>
            <w:hideMark/>
          </w:tcPr>
          <w:p w14:paraId="4076657D"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Group</w:t>
            </w:r>
          </w:p>
        </w:tc>
        <w:tc>
          <w:tcPr>
            <w:tcW w:w="0" w:type="auto"/>
            <w:tcBorders>
              <w:top w:val="single" w:sz="4" w:space="0" w:color="auto"/>
              <w:bottom w:val="single" w:sz="4" w:space="0" w:color="auto"/>
            </w:tcBorders>
            <w:noWrap/>
            <w:vAlign w:val="bottom"/>
            <w:hideMark/>
          </w:tcPr>
          <w:p w14:paraId="19203638"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Variable</w:t>
            </w:r>
          </w:p>
        </w:tc>
        <w:tc>
          <w:tcPr>
            <w:tcW w:w="0" w:type="auto"/>
            <w:tcBorders>
              <w:top w:val="single" w:sz="4" w:space="0" w:color="auto"/>
              <w:bottom w:val="single" w:sz="4" w:space="0" w:color="auto"/>
            </w:tcBorders>
            <w:noWrap/>
            <w:vAlign w:val="bottom"/>
            <w:hideMark/>
          </w:tcPr>
          <w:p w14:paraId="03CCB29A" w14:textId="77777777" w:rsidR="00D71D08" w:rsidRPr="00BD472F" w:rsidRDefault="00D71D08" w:rsidP="001D6318">
            <w:pPr>
              <w:rPr>
                <w:rFonts w:eastAsia="Times New Roman"/>
                <w:i/>
                <w:iCs/>
                <w:color w:val="000000"/>
                <w:kern w:val="0"/>
                <w14:ligatures w14:val="none"/>
              </w:rPr>
            </w:pPr>
            <w:r w:rsidRPr="00BD472F">
              <w:rPr>
                <w:rFonts w:eastAsia="Times New Roman"/>
                <w:i/>
                <w:iCs/>
                <w:color w:val="000000"/>
                <w:kern w:val="0"/>
                <w14:ligatures w14:val="none"/>
              </w:rPr>
              <w:t>n</w:t>
            </w:r>
          </w:p>
        </w:tc>
        <w:tc>
          <w:tcPr>
            <w:tcW w:w="0" w:type="auto"/>
            <w:tcBorders>
              <w:top w:val="single" w:sz="4" w:space="0" w:color="auto"/>
              <w:bottom w:val="single" w:sz="4" w:space="0" w:color="auto"/>
            </w:tcBorders>
            <w:noWrap/>
            <w:vAlign w:val="bottom"/>
            <w:hideMark/>
          </w:tcPr>
          <w:p w14:paraId="5EEC7085"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Mean</w:t>
            </w:r>
          </w:p>
        </w:tc>
        <w:tc>
          <w:tcPr>
            <w:tcW w:w="0" w:type="auto"/>
            <w:tcBorders>
              <w:top w:val="single" w:sz="4" w:space="0" w:color="auto"/>
              <w:bottom w:val="single" w:sz="4" w:space="0" w:color="auto"/>
            </w:tcBorders>
            <w:noWrap/>
            <w:vAlign w:val="bottom"/>
            <w:hideMark/>
          </w:tcPr>
          <w:p w14:paraId="2FA58F76" w14:textId="77777777" w:rsidR="00D71D08" w:rsidRPr="00BD472F" w:rsidRDefault="00D71D08" w:rsidP="001D6318">
            <w:pPr>
              <w:rPr>
                <w:rFonts w:eastAsia="Times New Roman"/>
                <w:i/>
                <w:iCs/>
                <w:color w:val="000000"/>
                <w:kern w:val="0"/>
                <w14:ligatures w14:val="none"/>
              </w:rPr>
            </w:pPr>
            <w:r w:rsidRPr="00BD472F">
              <w:rPr>
                <w:rFonts w:eastAsia="Times New Roman"/>
                <w:i/>
                <w:iCs/>
                <w:color w:val="000000"/>
                <w:kern w:val="0"/>
                <w14:ligatures w14:val="none"/>
              </w:rPr>
              <w:t>SD</w:t>
            </w:r>
          </w:p>
        </w:tc>
        <w:tc>
          <w:tcPr>
            <w:tcW w:w="0" w:type="auto"/>
            <w:tcBorders>
              <w:top w:val="single" w:sz="4" w:space="0" w:color="auto"/>
              <w:bottom w:val="single" w:sz="4" w:space="0" w:color="auto"/>
            </w:tcBorders>
            <w:noWrap/>
            <w:vAlign w:val="bottom"/>
            <w:hideMark/>
          </w:tcPr>
          <w:p w14:paraId="7D7D5FFB"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Min</w:t>
            </w:r>
          </w:p>
        </w:tc>
        <w:tc>
          <w:tcPr>
            <w:tcW w:w="0" w:type="auto"/>
            <w:tcBorders>
              <w:top w:val="single" w:sz="4" w:space="0" w:color="auto"/>
              <w:bottom w:val="single" w:sz="4" w:space="0" w:color="auto"/>
            </w:tcBorders>
            <w:noWrap/>
            <w:vAlign w:val="bottom"/>
            <w:hideMark/>
          </w:tcPr>
          <w:p w14:paraId="4DD81047"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Max</w:t>
            </w:r>
          </w:p>
        </w:tc>
        <w:tc>
          <w:tcPr>
            <w:tcW w:w="0" w:type="auto"/>
            <w:tcBorders>
              <w:top w:val="single" w:sz="4" w:space="0" w:color="auto"/>
              <w:bottom w:val="single" w:sz="4" w:space="0" w:color="auto"/>
            </w:tcBorders>
            <w:noWrap/>
            <w:vAlign w:val="bottom"/>
            <w:hideMark/>
          </w:tcPr>
          <w:p w14:paraId="74F54370"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Skew</w:t>
            </w:r>
          </w:p>
        </w:tc>
        <w:tc>
          <w:tcPr>
            <w:tcW w:w="0" w:type="auto"/>
            <w:tcBorders>
              <w:top w:val="single" w:sz="4" w:space="0" w:color="auto"/>
              <w:bottom w:val="single" w:sz="4" w:space="0" w:color="auto"/>
            </w:tcBorders>
            <w:noWrap/>
            <w:vAlign w:val="bottom"/>
            <w:hideMark/>
          </w:tcPr>
          <w:p w14:paraId="0029231E"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Kurtosis</w:t>
            </w:r>
          </w:p>
        </w:tc>
      </w:tr>
      <w:tr w:rsidR="00D71D08" w:rsidRPr="00BD472F" w14:paraId="0371CB49" w14:textId="77777777" w:rsidTr="001D6318">
        <w:trPr>
          <w:trHeight w:val="320"/>
        </w:trPr>
        <w:tc>
          <w:tcPr>
            <w:tcW w:w="0" w:type="auto"/>
            <w:tcBorders>
              <w:top w:val="single" w:sz="4" w:space="0" w:color="auto"/>
            </w:tcBorders>
            <w:noWrap/>
            <w:vAlign w:val="bottom"/>
            <w:hideMark/>
          </w:tcPr>
          <w:p w14:paraId="1799B431"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Full sample</w:t>
            </w:r>
          </w:p>
        </w:tc>
        <w:tc>
          <w:tcPr>
            <w:tcW w:w="0" w:type="auto"/>
            <w:tcBorders>
              <w:top w:val="single" w:sz="4" w:space="0" w:color="auto"/>
            </w:tcBorders>
            <w:noWrap/>
            <w:vAlign w:val="bottom"/>
            <w:hideMark/>
          </w:tcPr>
          <w:p w14:paraId="7EA28228"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Minutes</w:t>
            </w:r>
          </w:p>
        </w:tc>
        <w:tc>
          <w:tcPr>
            <w:tcW w:w="0" w:type="auto"/>
            <w:tcBorders>
              <w:top w:val="single" w:sz="4" w:space="0" w:color="auto"/>
            </w:tcBorders>
            <w:noWrap/>
            <w:vAlign w:val="bottom"/>
            <w:hideMark/>
          </w:tcPr>
          <w:p w14:paraId="3B6827E0"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92</w:t>
            </w:r>
          </w:p>
        </w:tc>
        <w:tc>
          <w:tcPr>
            <w:tcW w:w="0" w:type="auto"/>
            <w:tcBorders>
              <w:top w:val="single" w:sz="4" w:space="0" w:color="auto"/>
            </w:tcBorders>
            <w:noWrap/>
            <w:vAlign w:val="bottom"/>
            <w:hideMark/>
          </w:tcPr>
          <w:p w14:paraId="25CE9312"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151.30</w:t>
            </w:r>
          </w:p>
        </w:tc>
        <w:tc>
          <w:tcPr>
            <w:tcW w:w="0" w:type="auto"/>
            <w:tcBorders>
              <w:top w:val="single" w:sz="4" w:space="0" w:color="auto"/>
            </w:tcBorders>
            <w:noWrap/>
            <w:vAlign w:val="bottom"/>
            <w:hideMark/>
          </w:tcPr>
          <w:p w14:paraId="00ECD31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122.79</w:t>
            </w:r>
          </w:p>
        </w:tc>
        <w:tc>
          <w:tcPr>
            <w:tcW w:w="0" w:type="auto"/>
            <w:tcBorders>
              <w:top w:val="single" w:sz="4" w:space="0" w:color="auto"/>
            </w:tcBorders>
            <w:noWrap/>
            <w:vAlign w:val="bottom"/>
            <w:hideMark/>
          </w:tcPr>
          <w:p w14:paraId="186AB9A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w:t>
            </w:r>
          </w:p>
        </w:tc>
        <w:tc>
          <w:tcPr>
            <w:tcW w:w="0" w:type="auto"/>
            <w:tcBorders>
              <w:top w:val="single" w:sz="4" w:space="0" w:color="auto"/>
            </w:tcBorders>
            <w:noWrap/>
            <w:vAlign w:val="bottom"/>
            <w:hideMark/>
          </w:tcPr>
          <w:p w14:paraId="5160FA29"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510</w:t>
            </w:r>
          </w:p>
        </w:tc>
        <w:tc>
          <w:tcPr>
            <w:tcW w:w="0" w:type="auto"/>
            <w:tcBorders>
              <w:top w:val="single" w:sz="4" w:space="0" w:color="auto"/>
            </w:tcBorders>
            <w:noWrap/>
            <w:vAlign w:val="bottom"/>
            <w:hideMark/>
          </w:tcPr>
          <w:p w14:paraId="1069C89B"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1.18</w:t>
            </w:r>
          </w:p>
        </w:tc>
        <w:tc>
          <w:tcPr>
            <w:tcW w:w="0" w:type="auto"/>
            <w:tcBorders>
              <w:top w:val="single" w:sz="4" w:space="0" w:color="auto"/>
            </w:tcBorders>
            <w:noWrap/>
            <w:vAlign w:val="bottom"/>
            <w:hideMark/>
          </w:tcPr>
          <w:p w14:paraId="4541AC0A"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0.87</w:t>
            </w:r>
          </w:p>
        </w:tc>
      </w:tr>
      <w:tr w:rsidR="00D71D08" w:rsidRPr="00BD472F" w14:paraId="15E22D2A" w14:textId="77777777" w:rsidTr="001D6318">
        <w:trPr>
          <w:trHeight w:val="320"/>
        </w:trPr>
        <w:tc>
          <w:tcPr>
            <w:tcW w:w="0" w:type="auto"/>
            <w:noWrap/>
            <w:vAlign w:val="bottom"/>
            <w:hideMark/>
          </w:tcPr>
          <w:p w14:paraId="3F906638"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Full sample</w:t>
            </w:r>
          </w:p>
        </w:tc>
        <w:tc>
          <w:tcPr>
            <w:tcW w:w="0" w:type="auto"/>
            <w:noWrap/>
            <w:vAlign w:val="bottom"/>
            <w:hideMark/>
          </w:tcPr>
          <w:p w14:paraId="21AE3CC0"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Days</w:t>
            </w:r>
          </w:p>
        </w:tc>
        <w:tc>
          <w:tcPr>
            <w:tcW w:w="0" w:type="auto"/>
            <w:noWrap/>
            <w:vAlign w:val="bottom"/>
            <w:hideMark/>
          </w:tcPr>
          <w:p w14:paraId="345D5363"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92</w:t>
            </w:r>
          </w:p>
        </w:tc>
        <w:tc>
          <w:tcPr>
            <w:tcW w:w="0" w:type="auto"/>
            <w:noWrap/>
            <w:vAlign w:val="bottom"/>
            <w:hideMark/>
          </w:tcPr>
          <w:p w14:paraId="7B54DB4C"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16.00</w:t>
            </w:r>
          </w:p>
        </w:tc>
        <w:tc>
          <w:tcPr>
            <w:tcW w:w="0" w:type="auto"/>
            <w:noWrap/>
            <w:vAlign w:val="bottom"/>
            <w:hideMark/>
          </w:tcPr>
          <w:p w14:paraId="016DE6C1"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7.53</w:t>
            </w:r>
          </w:p>
        </w:tc>
        <w:tc>
          <w:tcPr>
            <w:tcW w:w="0" w:type="auto"/>
            <w:noWrap/>
            <w:vAlign w:val="bottom"/>
            <w:hideMark/>
          </w:tcPr>
          <w:p w14:paraId="703A1C0E"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w:t>
            </w:r>
          </w:p>
        </w:tc>
        <w:tc>
          <w:tcPr>
            <w:tcW w:w="0" w:type="auto"/>
            <w:noWrap/>
            <w:vAlign w:val="bottom"/>
            <w:hideMark/>
          </w:tcPr>
          <w:p w14:paraId="005329CC"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28</w:t>
            </w:r>
          </w:p>
        </w:tc>
        <w:tc>
          <w:tcPr>
            <w:tcW w:w="0" w:type="auto"/>
            <w:noWrap/>
            <w:vAlign w:val="bottom"/>
            <w:hideMark/>
          </w:tcPr>
          <w:p w14:paraId="1177148F"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-0.28</w:t>
            </w:r>
          </w:p>
        </w:tc>
        <w:tc>
          <w:tcPr>
            <w:tcW w:w="0" w:type="auto"/>
            <w:noWrap/>
            <w:vAlign w:val="bottom"/>
            <w:hideMark/>
          </w:tcPr>
          <w:p w14:paraId="205C7431"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-0.87</w:t>
            </w:r>
          </w:p>
        </w:tc>
      </w:tr>
      <w:tr w:rsidR="00D71D08" w:rsidRPr="00BD472F" w14:paraId="2D1514AE" w14:textId="77777777" w:rsidTr="001D6318">
        <w:trPr>
          <w:trHeight w:val="320"/>
        </w:trPr>
        <w:tc>
          <w:tcPr>
            <w:tcW w:w="0" w:type="auto"/>
            <w:noWrap/>
            <w:vAlign w:val="bottom"/>
            <w:hideMark/>
          </w:tcPr>
          <w:p w14:paraId="20EB5424"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Full sample</w:t>
            </w:r>
          </w:p>
        </w:tc>
        <w:tc>
          <w:tcPr>
            <w:tcW w:w="0" w:type="auto"/>
            <w:noWrap/>
            <w:vAlign w:val="bottom"/>
            <w:hideMark/>
          </w:tcPr>
          <w:p w14:paraId="7F079F2C"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Activities</w:t>
            </w:r>
          </w:p>
        </w:tc>
        <w:tc>
          <w:tcPr>
            <w:tcW w:w="0" w:type="auto"/>
            <w:noWrap/>
            <w:vAlign w:val="bottom"/>
            <w:hideMark/>
          </w:tcPr>
          <w:p w14:paraId="627260BB"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92</w:t>
            </w:r>
          </w:p>
        </w:tc>
        <w:tc>
          <w:tcPr>
            <w:tcW w:w="0" w:type="auto"/>
            <w:noWrap/>
            <w:vAlign w:val="bottom"/>
            <w:hideMark/>
          </w:tcPr>
          <w:p w14:paraId="58F5C89D"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54.54</w:t>
            </w:r>
          </w:p>
        </w:tc>
        <w:tc>
          <w:tcPr>
            <w:tcW w:w="0" w:type="auto"/>
            <w:noWrap/>
            <w:vAlign w:val="bottom"/>
            <w:hideMark/>
          </w:tcPr>
          <w:p w14:paraId="681E115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39.07</w:t>
            </w:r>
          </w:p>
        </w:tc>
        <w:tc>
          <w:tcPr>
            <w:tcW w:w="0" w:type="auto"/>
            <w:noWrap/>
            <w:vAlign w:val="bottom"/>
            <w:hideMark/>
          </w:tcPr>
          <w:p w14:paraId="648C1C6E"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w:t>
            </w:r>
          </w:p>
        </w:tc>
        <w:tc>
          <w:tcPr>
            <w:tcW w:w="0" w:type="auto"/>
            <w:noWrap/>
            <w:vAlign w:val="bottom"/>
            <w:hideMark/>
          </w:tcPr>
          <w:p w14:paraId="6E2BA264"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295</w:t>
            </w:r>
          </w:p>
        </w:tc>
        <w:tc>
          <w:tcPr>
            <w:tcW w:w="0" w:type="auto"/>
            <w:noWrap/>
            <w:vAlign w:val="bottom"/>
            <w:hideMark/>
          </w:tcPr>
          <w:p w14:paraId="1B01CEE4"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3.10</w:t>
            </w:r>
          </w:p>
        </w:tc>
        <w:tc>
          <w:tcPr>
            <w:tcW w:w="0" w:type="auto"/>
            <w:noWrap/>
            <w:vAlign w:val="bottom"/>
            <w:hideMark/>
          </w:tcPr>
          <w:p w14:paraId="2F6ABE58"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15.47</w:t>
            </w:r>
          </w:p>
        </w:tc>
      </w:tr>
      <w:tr w:rsidR="00D71D08" w:rsidRPr="00BD472F" w14:paraId="2839DD24" w14:textId="77777777" w:rsidTr="001D6318">
        <w:trPr>
          <w:trHeight w:val="320"/>
        </w:trPr>
        <w:tc>
          <w:tcPr>
            <w:tcW w:w="0" w:type="auto"/>
            <w:noWrap/>
            <w:vAlign w:val="bottom"/>
            <w:hideMark/>
          </w:tcPr>
          <w:p w14:paraId="1CC72178"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High Dosage</w:t>
            </w:r>
          </w:p>
        </w:tc>
        <w:tc>
          <w:tcPr>
            <w:tcW w:w="0" w:type="auto"/>
            <w:noWrap/>
            <w:vAlign w:val="bottom"/>
            <w:hideMark/>
          </w:tcPr>
          <w:p w14:paraId="1E5BAC4C"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Minutes</w:t>
            </w:r>
          </w:p>
        </w:tc>
        <w:tc>
          <w:tcPr>
            <w:tcW w:w="0" w:type="auto"/>
            <w:noWrap/>
            <w:vAlign w:val="bottom"/>
            <w:hideMark/>
          </w:tcPr>
          <w:p w14:paraId="3DED9FD3"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46</w:t>
            </w:r>
          </w:p>
        </w:tc>
        <w:tc>
          <w:tcPr>
            <w:tcW w:w="0" w:type="auto"/>
            <w:noWrap/>
            <w:vAlign w:val="bottom"/>
            <w:hideMark/>
          </w:tcPr>
          <w:p w14:paraId="60192EAD"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201.76</w:t>
            </w:r>
          </w:p>
        </w:tc>
        <w:tc>
          <w:tcPr>
            <w:tcW w:w="0" w:type="auto"/>
            <w:noWrap/>
            <w:vAlign w:val="bottom"/>
            <w:hideMark/>
          </w:tcPr>
          <w:p w14:paraId="4120988F"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144.61</w:t>
            </w:r>
          </w:p>
        </w:tc>
        <w:tc>
          <w:tcPr>
            <w:tcW w:w="0" w:type="auto"/>
            <w:noWrap/>
            <w:vAlign w:val="bottom"/>
            <w:hideMark/>
          </w:tcPr>
          <w:p w14:paraId="1A898D81"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w:t>
            </w:r>
          </w:p>
        </w:tc>
        <w:tc>
          <w:tcPr>
            <w:tcW w:w="0" w:type="auto"/>
            <w:noWrap/>
            <w:vAlign w:val="bottom"/>
            <w:hideMark/>
          </w:tcPr>
          <w:p w14:paraId="2A064264"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510</w:t>
            </w:r>
          </w:p>
        </w:tc>
        <w:tc>
          <w:tcPr>
            <w:tcW w:w="0" w:type="auto"/>
            <w:noWrap/>
            <w:vAlign w:val="bottom"/>
            <w:hideMark/>
          </w:tcPr>
          <w:p w14:paraId="4D2DB67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0.39</w:t>
            </w:r>
          </w:p>
        </w:tc>
        <w:tc>
          <w:tcPr>
            <w:tcW w:w="0" w:type="auto"/>
            <w:noWrap/>
            <w:vAlign w:val="bottom"/>
            <w:hideMark/>
          </w:tcPr>
          <w:p w14:paraId="6DBDDFA6"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-0.67</w:t>
            </w:r>
          </w:p>
        </w:tc>
      </w:tr>
      <w:tr w:rsidR="00D71D08" w:rsidRPr="00BD472F" w14:paraId="551A4B01" w14:textId="77777777" w:rsidTr="001D6318">
        <w:trPr>
          <w:trHeight w:val="320"/>
        </w:trPr>
        <w:tc>
          <w:tcPr>
            <w:tcW w:w="0" w:type="auto"/>
            <w:noWrap/>
            <w:vAlign w:val="bottom"/>
            <w:hideMark/>
          </w:tcPr>
          <w:p w14:paraId="4EE56EE4"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High Dosage</w:t>
            </w:r>
          </w:p>
        </w:tc>
        <w:tc>
          <w:tcPr>
            <w:tcW w:w="0" w:type="auto"/>
            <w:noWrap/>
            <w:vAlign w:val="bottom"/>
            <w:hideMark/>
          </w:tcPr>
          <w:p w14:paraId="52DBFF3D"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Days</w:t>
            </w:r>
          </w:p>
        </w:tc>
        <w:tc>
          <w:tcPr>
            <w:tcW w:w="0" w:type="auto"/>
            <w:noWrap/>
            <w:vAlign w:val="bottom"/>
            <w:hideMark/>
          </w:tcPr>
          <w:p w14:paraId="5CDB9BE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46</w:t>
            </w:r>
          </w:p>
        </w:tc>
        <w:tc>
          <w:tcPr>
            <w:tcW w:w="0" w:type="auto"/>
            <w:noWrap/>
            <w:vAlign w:val="bottom"/>
            <w:hideMark/>
          </w:tcPr>
          <w:p w14:paraId="6FF8D77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14.72</w:t>
            </w:r>
          </w:p>
        </w:tc>
        <w:tc>
          <w:tcPr>
            <w:tcW w:w="0" w:type="auto"/>
            <w:noWrap/>
            <w:vAlign w:val="bottom"/>
            <w:hideMark/>
          </w:tcPr>
          <w:p w14:paraId="386ED54F"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7.89</w:t>
            </w:r>
          </w:p>
        </w:tc>
        <w:tc>
          <w:tcPr>
            <w:tcW w:w="0" w:type="auto"/>
            <w:noWrap/>
            <w:vAlign w:val="bottom"/>
            <w:hideMark/>
          </w:tcPr>
          <w:p w14:paraId="0EFA12E4"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w:t>
            </w:r>
          </w:p>
        </w:tc>
        <w:tc>
          <w:tcPr>
            <w:tcW w:w="0" w:type="auto"/>
            <w:noWrap/>
            <w:vAlign w:val="bottom"/>
            <w:hideMark/>
          </w:tcPr>
          <w:p w14:paraId="2AB36A7A"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28</w:t>
            </w:r>
          </w:p>
        </w:tc>
        <w:tc>
          <w:tcPr>
            <w:tcW w:w="0" w:type="auto"/>
            <w:noWrap/>
            <w:vAlign w:val="bottom"/>
            <w:hideMark/>
          </w:tcPr>
          <w:p w14:paraId="4008A642"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-0.18</w:t>
            </w:r>
          </w:p>
        </w:tc>
        <w:tc>
          <w:tcPr>
            <w:tcW w:w="0" w:type="auto"/>
            <w:noWrap/>
            <w:vAlign w:val="bottom"/>
            <w:hideMark/>
          </w:tcPr>
          <w:p w14:paraId="26DF06F2"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-1.09</w:t>
            </w:r>
          </w:p>
        </w:tc>
      </w:tr>
      <w:tr w:rsidR="00D71D08" w:rsidRPr="00BD472F" w14:paraId="6EFAC2DB" w14:textId="77777777" w:rsidTr="001D6318">
        <w:trPr>
          <w:trHeight w:val="320"/>
        </w:trPr>
        <w:tc>
          <w:tcPr>
            <w:tcW w:w="0" w:type="auto"/>
            <w:noWrap/>
            <w:vAlign w:val="bottom"/>
            <w:hideMark/>
          </w:tcPr>
          <w:p w14:paraId="6CBC3E13"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High Dosage</w:t>
            </w:r>
          </w:p>
        </w:tc>
        <w:tc>
          <w:tcPr>
            <w:tcW w:w="0" w:type="auto"/>
            <w:noWrap/>
            <w:vAlign w:val="bottom"/>
            <w:hideMark/>
          </w:tcPr>
          <w:p w14:paraId="0CA66181"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Activities</w:t>
            </w:r>
          </w:p>
        </w:tc>
        <w:tc>
          <w:tcPr>
            <w:tcW w:w="0" w:type="auto"/>
            <w:noWrap/>
            <w:vAlign w:val="bottom"/>
            <w:hideMark/>
          </w:tcPr>
          <w:p w14:paraId="65F75C6A"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46</w:t>
            </w:r>
          </w:p>
        </w:tc>
        <w:tc>
          <w:tcPr>
            <w:tcW w:w="0" w:type="auto"/>
            <w:noWrap/>
            <w:vAlign w:val="bottom"/>
            <w:hideMark/>
          </w:tcPr>
          <w:p w14:paraId="5DA14472"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51.43</w:t>
            </w:r>
          </w:p>
        </w:tc>
        <w:tc>
          <w:tcPr>
            <w:tcW w:w="0" w:type="auto"/>
            <w:noWrap/>
            <w:vAlign w:val="bottom"/>
            <w:hideMark/>
          </w:tcPr>
          <w:p w14:paraId="0ECB9F83"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44.91</w:t>
            </w:r>
          </w:p>
        </w:tc>
        <w:tc>
          <w:tcPr>
            <w:tcW w:w="0" w:type="auto"/>
            <w:noWrap/>
            <w:vAlign w:val="bottom"/>
            <w:hideMark/>
          </w:tcPr>
          <w:p w14:paraId="34B30CC1"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w:t>
            </w:r>
          </w:p>
        </w:tc>
        <w:tc>
          <w:tcPr>
            <w:tcW w:w="0" w:type="auto"/>
            <w:noWrap/>
            <w:vAlign w:val="bottom"/>
            <w:hideMark/>
          </w:tcPr>
          <w:p w14:paraId="53FD0960"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295</w:t>
            </w:r>
          </w:p>
        </w:tc>
        <w:tc>
          <w:tcPr>
            <w:tcW w:w="0" w:type="auto"/>
            <w:noWrap/>
            <w:vAlign w:val="bottom"/>
            <w:hideMark/>
          </w:tcPr>
          <w:p w14:paraId="2D5D89BC"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3.42</w:t>
            </w:r>
          </w:p>
        </w:tc>
        <w:tc>
          <w:tcPr>
            <w:tcW w:w="0" w:type="auto"/>
            <w:noWrap/>
            <w:vAlign w:val="bottom"/>
            <w:hideMark/>
          </w:tcPr>
          <w:p w14:paraId="7879AD50"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16.13</w:t>
            </w:r>
          </w:p>
        </w:tc>
      </w:tr>
      <w:tr w:rsidR="00D71D08" w:rsidRPr="00BD472F" w14:paraId="0717D4EB" w14:textId="77777777" w:rsidTr="001D6318">
        <w:trPr>
          <w:trHeight w:val="320"/>
        </w:trPr>
        <w:tc>
          <w:tcPr>
            <w:tcW w:w="0" w:type="auto"/>
            <w:noWrap/>
            <w:vAlign w:val="bottom"/>
            <w:hideMark/>
          </w:tcPr>
          <w:p w14:paraId="251241DF"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Low Dosage</w:t>
            </w:r>
          </w:p>
        </w:tc>
        <w:tc>
          <w:tcPr>
            <w:tcW w:w="0" w:type="auto"/>
            <w:noWrap/>
            <w:vAlign w:val="bottom"/>
            <w:hideMark/>
          </w:tcPr>
          <w:p w14:paraId="4875DAA8"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Minutes</w:t>
            </w:r>
          </w:p>
        </w:tc>
        <w:tc>
          <w:tcPr>
            <w:tcW w:w="0" w:type="auto"/>
            <w:noWrap/>
            <w:vAlign w:val="bottom"/>
            <w:hideMark/>
          </w:tcPr>
          <w:p w14:paraId="6C524648"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46</w:t>
            </w:r>
          </w:p>
        </w:tc>
        <w:tc>
          <w:tcPr>
            <w:tcW w:w="0" w:type="auto"/>
            <w:noWrap/>
            <w:vAlign w:val="bottom"/>
            <w:hideMark/>
          </w:tcPr>
          <w:p w14:paraId="2B5F1D89"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100.85</w:t>
            </w:r>
          </w:p>
        </w:tc>
        <w:tc>
          <w:tcPr>
            <w:tcW w:w="0" w:type="auto"/>
            <w:noWrap/>
            <w:vAlign w:val="bottom"/>
            <w:hideMark/>
          </w:tcPr>
          <w:p w14:paraId="7AFCE177"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66.13</w:t>
            </w:r>
          </w:p>
        </w:tc>
        <w:tc>
          <w:tcPr>
            <w:tcW w:w="0" w:type="auto"/>
            <w:noWrap/>
            <w:vAlign w:val="bottom"/>
            <w:hideMark/>
          </w:tcPr>
          <w:p w14:paraId="5262841F"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w:t>
            </w:r>
          </w:p>
        </w:tc>
        <w:tc>
          <w:tcPr>
            <w:tcW w:w="0" w:type="auto"/>
            <w:noWrap/>
            <w:vAlign w:val="bottom"/>
            <w:hideMark/>
          </w:tcPr>
          <w:p w14:paraId="287376B3"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430</w:t>
            </w:r>
          </w:p>
        </w:tc>
        <w:tc>
          <w:tcPr>
            <w:tcW w:w="0" w:type="auto"/>
            <w:noWrap/>
            <w:vAlign w:val="bottom"/>
            <w:hideMark/>
          </w:tcPr>
          <w:p w14:paraId="709D77E8"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2.61</w:t>
            </w:r>
          </w:p>
        </w:tc>
        <w:tc>
          <w:tcPr>
            <w:tcW w:w="0" w:type="auto"/>
            <w:noWrap/>
            <w:vAlign w:val="bottom"/>
            <w:hideMark/>
          </w:tcPr>
          <w:p w14:paraId="640DF90A"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11.04</w:t>
            </w:r>
          </w:p>
        </w:tc>
      </w:tr>
      <w:tr w:rsidR="00D71D08" w:rsidRPr="00BD472F" w14:paraId="207BBBFF" w14:textId="77777777" w:rsidTr="001D6318">
        <w:trPr>
          <w:trHeight w:val="320"/>
        </w:trPr>
        <w:tc>
          <w:tcPr>
            <w:tcW w:w="0" w:type="auto"/>
            <w:noWrap/>
            <w:vAlign w:val="bottom"/>
            <w:hideMark/>
          </w:tcPr>
          <w:p w14:paraId="384FFE82"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Low Dosage</w:t>
            </w:r>
          </w:p>
        </w:tc>
        <w:tc>
          <w:tcPr>
            <w:tcW w:w="0" w:type="auto"/>
            <w:noWrap/>
            <w:vAlign w:val="bottom"/>
            <w:hideMark/>
          </w:tcPr>
          <w:p w14:paraId="6FE39179"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Days</w:t>
            </w:r>
          </w:p>
        </w:tc>
        <w:tc>
          <w:tcPr>
            <w:tcW w:w="0" w:type="auto"/>
            <w:noWrap/>
            <w:vAlign w:val="bottom"/>
            <w:hideMark/>
          </w:tcPr>
          <w:p w14:paraId="0850BD68"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46</w:t>
            </w:r>
          </w:p>
        </w:tc>
        <w:tc>
          <w:tcPr>
            <w:tcW w:w="0" w:type="auto"/>
            <w:noWrap/>
            <w:vAlign w:val="bottom"/>
            <w:hideMark/>
          </w:tcPr>
          <w:p w14:paraId="1C7EE838"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17.28</w:t>
            </w:r>
          </w:p>
        </w:tc>
        <w:tc>
          <w:tcPr>
            <w:tcW w:w="0" w:type="auto"/>
            <w:noWrap/>
            <w:vAlign w:val="bottom"/>
            <w:hideMark/>
          </w:tcPr>
          <w:p w14:paraId="4B9F70FA"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7.00</w:t>
            </w:r>
          </w:p>
        </w:tc>
        <w:tc>
          <w:tcPr>
            <w:tcW w:w="0" w:type="auto"/>
            <w:noWrap/>
            <w:vAlign w:val="bottom"/>
            <w:hideMark/>
          </w:tcPr>
          <w:p w14:paraId="3EBE0F58"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1</w:t>
            </w:r>
          </w:p>
        </w:tc>
        <w:tc>
          <w:tcPr>
            <w:tcW w:w="0" w:type="auto"/>
            <w:noWrap/>
            <w:vAlign w:val="bottom"/>
            <w:hideMark/>
          </w:tcPr>
          <w:p w14:paraId="1C5F8BB9"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28</w:t>
            </w:r>
          </w:p>
        </w:tc>
        <w:tc>
          <w:tcPr>
            <w:tcW w:w="0" w:type="auto"/>
            <w:noWrap/>
            <w:vAlign w:val="bottom"/>
            <w:hideMark/>
          </w:tcPr>
          <w:p w14:paraId="187FE923"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-0.30</w:t>
            </w:r>
          </w:p>
        </w:tc>
        <w:tc>
          <w:tcPr>
            <w:tcW w:w="0" w:type="auto"/>
            <w:noWrap/>
            <w:vAlign w:val="bottom"/>
            <w:hideMark/>
          </w:tcPr>
          <w:p w14:paraId="7E1FAEA4"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-0.81</w:t>
            </w:r>
          </w:p>
        </w:tc>
      </w:tr>
      <w:tr w:rsidR="00D71D08" w:rsidRPr="00BD472F" w14:paraId="3120BC5A" w14:textId="77777777" w:rsidTr="001D6318">
        <w:trPr>
          <w:trHeight w:val="320"/>
        </w:trPr>
        <w:tc>
          <w:tcPr>
            <w:tcW w:w="0" w:type="auto"/>
            <w:noWrap/>
            <w:vAlign w:val="bottom"/>
            <w:hideMark/>
          </w:tcPr>
          <w:p w14:paraId="45E7E733"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Low Dosage</w:t>
            </w:r>
          </w:p>
        </w:tc>
        <w:tc>
          <w:tcPr>
            <w:tcW w:w="0" w:type="auto"/>
            <w:noWrap/>
            <w:vAlign w:val="bottom"/>
            <w:hideMark/>
          </w:tcPr>
          <w:p w14:paraId="6C9D66E4" w14:textId="77777777" w:rsidR="00D71D08" w:rsidRPr="00BD472F" w:rsidRDefault="00D71D08" w:rsidP="001D6318">
            <w:pPr>
              <w:rPr>
                <w:rFonts w:eastAsia="Times New Roman"/>
                <w:color w:val="000000"/>
                <w:kern w:val="0"/>
                <w14:ligatures w14:val="none"/>
              </w:rPr>
            </w:pPr>
            <w:r w:rsidRPr="00BD472F">
              <w:rPr>
                <w:rFonts w:eastAsia="Times New Roman"/>
                <w:color w:val="000000"/>
                <w:kern w:val="0"/>
                <w14:ligatures w14:val="none"/>
              </w:rPr>
              <w:t>Activities</w:t>
            </w:r>
          </w:p>
        </w:tc>
        <w:tc>
          <w:tcPr>
            <w:tcW w:w="0" w:type="auto"/>
            <w:noWrap/>
            <w:vAlign w:val="bottom"/>
            <w:hideMark/>
          </w:tcPr>
          <w:p w14:paraId="6D813116"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46</w:t>
            </w:r>
          </w:p>
        </w:tc>
        <w:tc>
          <w:tcPr>
            <w:tcW w:w="0" w:type="auto"/>
            <w:noWrap/>
            <w:vAlign w:val="bottom"/>
            <w:hideMark/>
          </w:tcPr>
          <w:p w14:paraId="1045075D"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57.65</w:t>
            </w:r>
          </w:p>
        </w:tc>
        <w:tc>
          <w:tcPr>
            <w:tcW w:w="0" w:type="auto"/>
            <w:noWrap/>
            <w:vAlign w:val="bottom"/>
            <w:hideMark/>
          </w:tcPr>
          <w:p w14:paraId="433843B1" w14:textId="4292E31F"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32.4</w:t>
            </w:r>
            <w:r w:rsidR="00606D34" w:rsidRPr="00BD472F">
              <w:rPr>
                <w:rFonts w:eastAsia="Times New Roman"/>
                <w:color w:val="000000"/>
                <w:kern w:val="0"/>
                <w14:ligatures w14:val="none"/>
              </w:rPr>
              <w:t>0</w:t>
            </w:r>
          </w:p>
        </w:tc>
        <w:tc>
          <w:tcPr>
            <w:tcW w:w="0" w:type="auto"/>
            <w:noWrap/>
            <w:vAlign w:val="bottom"/>
            <w:hideMark/>
          </w:tcPr>
          <w:p w14:paraId="6089AD06"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3</w:t>
            </w:r>
          </w:p>
        </w:tc>
        <w:tc>
          <w:tcPr>
            <w:tcW w:w="0" w:type="auto"/>
            <w:noWrap/>
            <w:vAlign w:val="bottom"/>
            <w:hideMark/>
          </w:tcPr>
          <w:p w14:paraId="1CBFA336"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204</w:t>
            </w:r>
          </w:p>
        </w:tc>
        <w:tc>
          <w:tcPr>
            <w:tcW w:w="0" w:type="auto"/>
            <w:noWrap/>
            <w:vAlign w:val="bottom"/>
            <w:hideMark/>
          </w:tcPr>
          <w:p w14:paraId="7EE514E5"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2.01</w:t>
            </w:r>
          </w:p>
        </w:tc>
        <w:tc>
          <w:tcPr>
            <w:tcW w:w="0" w:type="auto"/>
            <w:noWrap/>
            <w:vAlign w:val="bottom"/>
            <w:hideMark/>
          </w:tcPr>
          <w:p w14:paraId="355FA3EE" w14:textId="77777777" w:rsidR="00D71D08" w:rsidRPr="00BD472F" w:rsidRDefault="00D71D08" w:rsidP="001D6318">
            <w:pPr>
              <w:jc w:val="right"/>
              <w:rPr>
                <w:rFonts w:eastAsia="Times New Roman"/>
                <w:color w:val="000000"/>
                <w:kern w:val="0"/>
                <w14:ligatures w14:val="none"/>
              </w:rPr>
            </w:pPr>
            <w:r w:rsidRPr="00BD472F">
              <w:rPr>
                <w:rFonts w:eastAsia="Times New Roman"/>
                <w:color w:val="000000"/>
                <w:kern w:val="0"/>
                <w14:ligatures w14:val="none"/>
              </w:rPr>
              <w:t>7.04</w:t>
            </w:r>
          </w:p>
        </w:tc>
      </w:tr>
    </w:tbl>
    <w:p w14:paraId="26794786" w14:textId="77777777" w:rsidR="005279E3" w:rsidRPr="00BD472F" w:rsidRDefault="00D71D08" w:rsidP="00D605BD">
      <w:pPr>
        <w:spacing w:line="480" w:lineRule="auto"/>
        <w:sectPr w:rsidR="005279E3" w:rsidRPr="00BD472F" w:rsidSect="00D71D08">
          <w:pgSz w:w="15840" w:h="12240" w:orient="landscape"/>
          <w:pgMar w:top="1440" w:right="1440" w:bottom="1440" w:left="1440" w:header="720" w:footer="720" w:gutter="0"/>
          <w:cols w:space="720"/>
          <w:docGrid w:linePitch="360"/>
        </w:sectPr>
      </w:pPr>
      <w:r w:rsidRPr="00BD472F">
        <w:rPr>
          <w:i/>
          <w:iCs/>
        </w:rPr>
        <w:t xml:space="preserve">Note. SD </w:t>
      </w:r>
      <w:r w:rsidRPr="00BD472F">
        <w:t>= standard deviation; Min = minimum; Max = maximum; Minutes = minutes of guided meditation practice; Days = days of HMP usage; Activities = activities completed on HMP app.</w:t>
      </w:r>
    </w:p>
    <w:p w14:paraId="15B9ACB5" w14:textId="345543EA" w:rsidR="005279E3" w:rsidRPr="00BD472F" w:rsidRDefault="005279E3" w:rsidP="005279E3">
      <w:pPr>
        <w:spacing w:line="480" w:lineRule="auto"/>
      </w:pPr>
      <w:r w:rsidRPr="00BD472F">
        <w:rPr>
          <w:rFonts w:eastAsia="Times New Roman"/>
          <w:b/>
          <w:bCs/>
        </w:rPr>
        <w:lastRenderedPageBreak/>
        <w:t xml:space="preserve">Supplemental Materials Table </w:t>
      </w:r>
      <w:r w:rsidR="0059181E" w:rsidRPr="00BD472F">
        <w:rPr>
          <w:rFonts w:eastAsia="Times New Roman"/>
          <w:b/>
          <w:bCs/>
        </w:rPr>
        <w:t>3</w:t>
      </w:r>
    </w:p>
    <w:p w14:paraId="0F236B1B" w14:textId="75165B75" w:rsidR="005279E3" w:rsidRPr="00BD472F" w:rsidRDefault="005279E3" w:rsidP="005279E3">
      <w:pPr>
        <w:spacing w:after="240" w:line="480" w:lineRule="auto"/>
      </w:pPr>
      <w:r w:rsidRPr="00BD472F">
        <w:rPr>
          <w:rFonts w:eastAsia="Times New Roman"/>
          <w:i/>
          <w:iCs/>
        </w:rPr>
        <w:t>Posterior Estimates from the Bayesian Generalized Additive Mixed Model of Momentary Distress</w:t>
      </w:r>
    </w:p>
    <w:tbl>
      <w:tblPr>
        <w:tblW w:w="936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680"/>
        <w:gridCol w:w="2340"/>
        <w:gridCol w:w="2340"/>
      </w:tblGrid>
      <w:tr w:rsidR="005279E3" w:rsidRPr="00BD472F" w14:paraId="5FA1B021" w14:textId="77777777" w:rsidTr="00686FCD">
        <w:tc>
          <w:tcPr>
            <w:tcW w:w="4680" w:type="dxa"/>
            <w:tcBorders>
              <w:top w:val="single" w:sz="6" w:space="0" w:color="000000"/>
              <w:left w:val="none" w:sz="0" w:space="0" w:color="FFFFFF"/>
              <w:bottom w:val="single" w:sz="6" w:space="0" w:color="000000"/>
              <w:right w:val="none" w:sz="0" w:space="0" w:color="FFFFFF"/>
            </w:tcBorders>
            <w:tcMar>
              <w:top w:w="40" w:type="dxa"/>
              <w:left w:w="80" w:type="dxa"/>
              <w:bottom w:w="40" w:type="dxa"/>
              <w:right w:w="80" w:type="dxa"/>
            </w:tcMar>
            <w:vAlign w:val="center"/>
          </w:tcPr>
          <w:p w14:paraId="5CD0ABFF" w14:textId="77777777" w:rsidR="005279E3" w:rsidRPr="00BD472F" w:rsidRDefault="005279E3" w:rsidP="00686FCD">
            <w:r w:rsidRPr="00BD472F">
              <w:rPr>
                <w:rFonts w:eastAsia="Times New Roman"/>
              </w:rPr>
              <w:t>Parameter</w:t>
            </w:r>
          </w:p>
        </w:tc>
        <w:tc>
          <w:tcPr>
            <w:tcW w:w="2340" w:type="dxa"/>
            <w:tcBorders>
              <w:top w:val="single" w:sz="6" w:space="0" w:color="000000"/>
              <w:left w:val="none" w:sz="0" w:space="0" w:color="FFFFFF"/>
              <w:bottom w:val="single" w:sz="6" w:space="0" w:color="000000"/>
              <w:right w:val="none" w:sz="0" w:space="0" w:color="FFFFFF"/>
            </w:tcBorders>
            <w:tcMar>
              <w:top w:w="40" w:type="dxa"/>
              <w:left w:w="80" w:type="dxa"/>
              <w:bottom w:w="40" w:type="dxa"/>
              <w:right w:w="80" w:type="dxa"/>
            </w:tcMar>
            <w:vAlign w:val="center"/>
          </w:tcPr>
          <w:p w14:paraId="4C633086" w14:textId="77777777" w:rsidR="005279E3" w:rsidRPr="00BD472F" w:rsidRDefault="005279E3" w:rsidP="00686FCD">
            <w:pPr>
              <w:jc w:val="center"/>
            </w:pPr>
            <w:r w:rsidRPr="00BD472F">
              <w:rPr>
                <w:rFonts w:eastAsia="Times New Roman"/>
              </w:rPr>
              <w:t>Estimate</w:t>
            </w:r>
          </w:p>
        </w:tc>
        <w:tc>
          <w:tcPr>
            <w:tcW w:w="2340" w:type="dxa"/>
            <w:tcBorders>
              <w:top w:val="single" w:sz="6" w:space="0" w:color="000000"/>
              <w:left w:val="none" w:sz="0" w:space="0" w:color="FFFFFF"/>
              <w:bottom w:val="single" w:sz="6" w:space="0" w:color="000000"/>
              <w:right w:val="none" w:sz="0" w:space="0" w:color="FFFFFF"/>
            </w:tcBorders>
            <w:tcMar>
              <w:top w:w="40" w:type="dxa"/>
              <w:left w:w="80" w:type="dxa"/>
              <w:bottom w:w="40" w:type="dxa"/>
              <w:right w:w="80" w:type="dxa"/>
            </w:tcMar>
            <w:vAlign w:val="center"/>
          </w:tcPr>
          <w:p w14:paraId="14496B2F" w14:textId="77777777" w:rsidR="005279E3" w:rsidRPr="00BD472F" w:rsidRDefault="005279E3" w:rsidP="00686FCD">
            <w:pPr>
              <w:jc w:val="center"/>
            </w:pPr>
            <w:r w:rsidRPr="00BD472F">
              <w:rPr>
                <w:rFonts w:eastAsia="Times New Roman"/>
              </w:rPr>
              <w:t xml:space="preserve">95% </w:t>
            </w:r>
            <w:proofErr w:type="spellStart"/>
            <w:r w:rsidRPr="00BD472F">
              <w:rPr>
                <w:rFonts w:eastAsia="Times New Roman"/>
              </w:rPr>
              <w:t>CrI</w:t>
            </w:r>
            <w:proofErr w:type="spellEnd"/>
          </w:p>
        </w:tc>
      </w:tr>
      <w:tr w:rsidR="005279E3" w:rsidRPr="00BD472F" w14:paraId="5E73EE77" w14:textId="77777777" w:rsidTr="00686FCD">
        <w:tc>
          <w:tcPr>
            <w:tcW w:w="9360" w:type="dxa"/>
            <w:gridSpan w:val="3"/>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58EEDBD2" w14:textId="77777777" w:rsidR="005279E3" w:rsidRPr="00BD472F" w:rsidRDefault="005279E3" w:rsidP="00686FCD">
            <w:r w:rsidRPr="00BD472F">
              <w:rPr>
                <w:rFonts w:eastAsia="Times New Roman"/>
                <w:i/>
                <w:iCs/>
              </w:rPr>
              <w:t>Fixed effects</w:t>
            </w:r>
          </w:p>
        </w:tc>
      </w:tr>
      <w:tr w:rsidR="005279E3" w:rsidRPr="00BD472F" w14:paraId="44F92152"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209029A4" w14:textId="77777777" w:rsidR="005279E3" w:rsidRPr="00BD472F" w:rsidRDefault="005279E3" w:rsidP="00686FCD">
            <w:r w:rsidRPr="00BD472F">
              <w:rPr>
                <w:rFonts w:eastAsia="Times New Roman"/>
              </w:rPr>
              <w:t>Intercept (Low group)</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559A4D52" w14:textId="77777777" w:rsidR="005279E3" w:rsidRPr="00BD472F" w:rsidRDefault="005279E3" w:rsidP="00686FCD">
            <w:pPr>
              <w:jc w:val="center"/>
            </w:pPr>
            <w:r w:rsidRPr="00BD472F">
              <w:rPr>
                <w:rFonts w:eastAsia="Times New Roman"/>
              </w:rPr>
              <w:t>2.57</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1B952D57" w14:textId="77777777" w:rsidR="005279E3" w:rsidRPr="00BD472F" w:rsidRDefault="005279E3" w:rsidP="00686FCD">
            <w:pPr>
              <w:jc w:val="center"/>
            </w:pPr>
            <w:r w:rsidRPr="00BD472F">
              <w:rPr>
                <w:rFonts w:eastAsia="Times New Roman"/>
              </w:rPr>
              <w:t>[2.29, 2.84]</w:t>
            </w:r>
          </w:p>
        </w:tc>
      </w:tr>
      <w:tr w:rsidR="005279E3" w:rsidRPr="00BD472F" w14:paraId="4EEFFA31"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248021E7" w14:textId="77777777" w:rsidR="005279E3" w:rsidRPr="00BD472F" w:rsidRDefault="005279E3" w:rsidP="00686FCD">
            <w:r w:rsidRPr="00BD472F">
              <w:rPr>
                <w:rFonts w:eastAsia="Times New Roman"/>
              </w:rPr>
              <w:t>Group (High vs. Low)</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62A16FF6" w14:textId="77777777" w:rsidR="005279E3" w:rsidRPr="00BD472F" w:rsidRDefault="005279E3" w:rsidP="00686FCD">
            <w:pPr>
              <w:jc w:val="center"/>
            </w:pPr>
            <w:r w:rsidRPr="00BD472F">
              <w:rPr>
                <w:rFonts w:eastAsia="Times New Roman"/>
              </w:rPr>
              <w:t>−0.15</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6651106C" w14:textId="77777777" w:rsidR="005279E3" w:rsidRPr="00BD472F" w:rsidRDefault="005279E3" w:rsidP="00686FCD">
            <w:pPr>
              <w:jc w:val="center"/>
            </w:pPr>
            <w:r w:rsidRPr="00BD472F">
              <w:rPr>
                <w:rFonts w:eastAsia="Times New Roman"/>
              </w:rPr>
              <w:t>[−0.55, 0.24]</w:t>
            </w:r>
          </w:p>
        </w:tc>
      </w:tr>
      <w:tr w:rsidR="005279E3" w:rsidRPr="00BD472F" w14:paraId="780F054D"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675E0669" w14:textId="77777777" w:rsidR="005279E3" w:rsidRPr="00BD472F" w:rsidRDefault="005279E3" w:rsidP="00686FCD">
            <w:r w:rsidRPr="00BD472F">
              <w:rPr>
                <w:rFonts w:eastAsia="Times New Roman"/>
              </w:rPr>
              <w:t>Study day, linear basis (Low)</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1D28D778" w14:textId="77777777" w:rsidR="005279E3" w:rsidRPr="00BD472F" w:rsidRDefault="005279E3" w:rsidP="00686FCD">
            <w:pPr>
              <w:jc w:val="center"/>
            </w:pPr>
            <w:r w:rsidRPr="00BD472F">
              <w:rPr>
                <w:rFonts w:eastAsia="Times New Roman"/>
              </w:rPr>
              <w:t>−1.33</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42DECA98" w14:textId="77777777" w:rsidR="005279E3" w:rsidRPr="00BD472F" w:rsidRDefault="005279E3" w:rsidP="00686FCD">
            <w:pPr>
              <w:jc w:val="center"/>
            </w:pPr>
            <w:r w:rsidRPr="00BD472F">
              <w:rPr>
                <w:rFonts w:eastAsia="Times New Roman"/>
              </w:rPr>
              <w:t>[−3.03, 0.00]</w:t>
            </w:r>
          </w:p>
        </w:tc>
      </w:tr>
      <w:tr w:rsidR="005279E3" w:rsidRPr="00BD472F" w14:paraId="470CF3E2"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734B643D" w14:textId="77777777" w:rsidR="005279E3" w:rsidRPr="00BD472F" w:rsidRDefault="005279E3" w:rsidP="00686FCD">
            <w:r w:rsidRPr="00BD472F">
              <w:rPr>
                <w:rFonts w:eastAsia="Times New Roman"/>
              </w:rPr>
              <w:t>Study day, linear basis (High)</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2E516F5F" w14:textId="77777777" w:rsidR="005279E3" w:rsidRPr="00BD472F" w:rsidRDefault="005279E3" w:rsidP="00686FCD">
            <w:pPr>
              <w:jc w:val="center"/>
            </w:pPr>
            <w:r w:rsidRPr="00BD472F">
              <w:rPr>
                <w:rFonts w:eastAsia="Times New Roman"/>
              </w:rPr>
              <w:t>−5.86</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052A690E" w14:textId="77777777" w:rsidR="005279E3" w:rsidRPr="00BD472F" w:rsidRDefault="005279E3" w:rsidP="00686FCD">
            <w:pPr>
              <w:jc w:val="center"/>
            </w:pPr>
            <w:r w:rsidRPr="00BD472F">
              <w:rPr>
                <w:rFonts w:eastAsia="Times New Roman"/>
              </w:rPr>
              <w:t>[−9.69, −2.14]</w:t>
            </w:r>
          </w:p>
        </w:tc>
      </w:tr>
      <w:tr w:rsidR="005279E3" w:rsidRPr="00BD472F" w14:paraId="124C598D" w14:textId="77777777" w:rsidTr="00686FCD">
        <w:tc>
          <w:tcPr>
            <w:tcW w:w="9360" w:type="dxa"/>
            <w:gridSpan w:val="3"/>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56F50EF9" w14:textId="77777777" w:rsidR="005279E3" w:rsidRPr="00BD472F" w:rsidRDefault="005279E3" w:rsidP="00686FCD">
            <w:r w:rsidRPr="00BD472F">
              <w:rPr>
                <w:rFonts w:eastAsia="Times New Roman"/>
                <w:i/>
                <w:iCs/>
              </w:rPr>
              <w:t>Nonlinear smooth (SD)</w:t>
            </w:r>
          </w:p>
        </w:tc>
      </w:tr>
      <w:tr w:rsidR="005279E3" w:rsidRPr="00BD472F" w14:paraId="47AEE419"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161429B4" w14:textId="77777777" w:rsidR="005279E3" w:rsidRPr="00BD472F" w:rsidRDefault="005279E3" w:rsidP="00686FCD">
            <w:r w:rsidRPr="00BD472F">
              <w:rPr>
                <w:rFonts w:eastAsia="Times New Roman"/>
              </w:rPr>
              <w:t>Study day (Low group)</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1E9089B4" w14:textId="77777777" w:rsidR="005279E3" w:rsidRPr="00BD472F" w:rsidRDefault="005279E3" w:rsidP="00686FCD">
            <w:pPr>
              <w:jc w:val="center"/>
            </w:pPr>
            <w:r w:rsidRPr="00BD472F">
              <w:rPr>
                <w:rFonts w:eastAsia="Times New Roman"/>
              </w:rPr>
              <w:t>0.38</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29FF716B" w14:textId="77777777" w:rsidR="005279E3" w:rsidRPr="00BD472F" w:rsidRDefault="005279E3" w:rsidP="00686FCD">
            <w:pPr>
              <w:jc w:val="center"/>
            </w:pPr>
            <w:r w:rsidRPr="00BD472F">
              <w:rPr>
                <w:rFonts w:eastAsia="Times New Roman"/>
              </w:rPr>
              <w:t>[0.02, 1.22]</w:t>
            </w:r>
          </w:p>
        </w:tc>
      </w:tr>
      <w:tr w:rsidR="005279E3" w:rsidRPr="00BD472F" w14:paraId="66F5D616"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1B715ED6" w14:textId="77777777" w:rsidR="005279E3" w:rsidRPr="00BD472F" w:rsidRDefault="005279E3" w:rsidP="00686FCD">
            <w:r w:rsidRPr="00BD472F">
              <w:rPr>
                <w:rFonts w:eastAsia="Times New Roman"/>
              </w:rPr>
              <w:t>Study day (High group)</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675003B8" w14:textId="77777777" w:rsidR="005279E3" w:rsidRPr="00BD472F" w:rsidRDefault="005279E3" w:rsidP="00686FCD">
            <w:pPr>
              <w:jc w:val="center"/>
            </w:pPr>
            <w:r w:rsidRPr="00BD472F">
              <w:rPr>
                <w:rFonts w:eastAsia="Times New Roman"/>
              </w:rPr>
              <w:t>3.68</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03AB8ABB" w14:textId="77777777" w:rsidR="005279E3" w:rsidRPr="00BD472F" w:rsidRDefault="005279E3" w:rsidP="00686FCD">
            <w:pPr>
              <w:jc w:val="center"/>
            </w:pPr>
            <w:r w:rsidRPr="00BD472F">
              <w:rPr>
                <w:rFonts w:eastAsia="Times New Roman"/>
              </w:rPr>
              <w:t>[1.98, 6.40]</w:t>
            </w:r>
          </w:p>
        </w:tc>
      </w:tr>
      <w:tr w:rsidR="005279E3" w:rsidRPr="00BD472F" w14:paraId="5AA9F914" w14:textId="77777777" w:rsidTr="00686FCD">
        <w:tc>
          <w:tcPr>
            <w:tcW w:w="9360" w:type="dxa"/>
            <w:gridSpan w:val="3"/>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00230601" w14:textId="77777777" w:rsidR="005279E3" w:rsidRPr="00BD472F" w:rsidRDefault="005279E3" w:rsidP="00686FCD">
            <w:r w:rsidRPr="00BD472F">
              <w:rPr>
                <w:rFonts w:eastAsia="Times New Roman"/>
                <w:i/>
                <w:iCs/>
              </w:rPr>
              <w:t>Random effects (participant, n = 92)</w:t>
            </w:r>
          </w:p>
        </w:tc>
      </w:tr>
      <w:tr w:rsidR="005279E3" w:rsidRPr="00BD472F" w14:paraId="37B5E58B"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45C54E42" w14:textId="77777777" w:rsidR="005279E3" w:rsidRPr="00BD472F" w:rsidRDefault="005279E3" w:rsidP="00686FCD">
            <w:r w:rsidRPr="00BD472F">
              <w:rPr>
                <w:rFonts w:eastAsia="Times New Roman"/>
              </w:rPr>
              <w:t>SD, intercept</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3D58019C" w14:textId="77777777" w:rsidR="005279E3" w:rsidRPr="00BD472F" w:rsidRDefault="005279E3" w:rsidP="00686FCD">
            <w:pPr>
              <w:jc w:val="center"/>
            </w:pPr>
            <w:r w:rsidRPr="00BD472F">
              <w:rPr>
                <w:rFonts w:eastAsia="Times New Roman"/>
              </w:rPr>
              <w:t>1.02</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74428A05" w14:textId="77777777" w:rsidR="005279E3" w:rsidRPr="00BD472F" w:rsidRDefault="005279E3" w:rsidP="00686FCD">
            <w:pPr>
              <w:jc w:val="center"/>
            </w:pPr>
            <w:r w:rsidRPr="00BD472F">
              <w:rPr>
                <w:rFonts w:eastAsia="Times New Roman"/>
              </w:rPr>
              <w:t>[0.87, 1.18]</w:t>
            </w:r>
          </w:p>
        </w:tc>
      </w:tr>
      <w:tr w:rsidR="005279E3" w:rsidRPr="00BD472F" w14:paraId="3C696220"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5833C569" w14:textId="77777777" w:rsidR="005279E3" w:rsidRPr="00BD472F" w:rsidRDefault="005279E3" w:rsidP="00686FCD">
            <w:r w:rsidRPr="00BD472F">
              <w:rPr>
                <w:rFonts w:eastAsia="Times New Roman"/>
              </w:rPr>
              <w:t>SD, study day</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552924A9" w14:textId="77777777" w:rsidR="005279E3" w:rsidRPr="00BD472F" w:rsidRDefault="005279E3" w:rsidP="00686FCD">
            <w:pPr>
              <w:jc w:val="center"/>
            </w:pPr>
            <w:r w:rsidRPr="00BD472F">
              <w:rPr>
                <w:rFonts w:eastAsia="Times New Roman"/>
              </w:rPr>
              <w:t>0.04</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2670473B" w14:textId="77777777" w:rsidR="005279E3" w:rsidRPr="00BD472F" w:rsidRDefault="005279E3" w:rsidP="00686FCD">
            <w:pPr>
              <w:jc w:val="center"/>
            </w:pPr>
            <w:r w:rsidRPr="00BD472F">
              <w:rPr>
                <w:rFonts w:eastAsia="Times New Roman"/>
              </w:rPr>
              <w:t>[0.03, 0.04]</w:t>
            </w:r>
          </w:p>
        </w:tc>
      </w:tr>
      <w:tr w:rsidR="005279E3" w:rsidRPr="00BD472F" w14:paraId="15ED5212" w14:textId="77777777" w:rsidTr="00686FCD">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31E6283D" w14:textId="77777777" w:rsidR="005279E3" w:rsidRPr="00BD472F" w:rsidRDefault="005279E3" w:rsidP="00686FCD">
            <w:r w:rsidRPr="00BD472F">
              <w:rPr>
                <w:rFonts w:eastAsia="Times New Roman"/>
              </w:rPr>
              <w:t>Correlation, intercept–slope</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65A271FE" w14:textId="77777777" w:rsidR="005279E3" w:rsidRPr="00BD472F" w:rsidRDefault="005279E3" w:rsidP="00686FCD">
            <w:pPr>
              <w:jc w:val="center"/>
            </w:pPr>
            <w:r w:rsidRPr="00BD472F">
              <w:rPr>
                <w:rFonts w:eastAsia="Times New Roman"/>
              </w:rPr>
              <w:t>−0.39</w:t>
            </w:r>
          </w:p>
        </w:tc>
        <w:tc>
          <w:tcPr>
            <w:tcW w:w="234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23FC0234" w14:textId="77777777" w:rsidR="005279E3" w:rsidRPr="00BD472F" w:rsidRDefault="005279E3" w:rsidP="00686FCD">
            <w:pPr>
              <w:jc w:val="center"/>
            </w:pPr>
            <w:r w:rsidRPr="00BD472F">
              <w:rPr>
                <w:rFonts w:eastAsia="Times New Roman"/>
              </w:rPr>
              <w:t>[−0.57, −0.19]</w:t>
            </w:r>
          </w:p>
        </w:tc>
      </w:tr>
      <w:tr w:rsidR="005279E3" w:rsidRPr="00BD472F" w14:paraId="542D152D" w14:textId="77777777" w:rsidTr="00686FCD">
        <w:tc>
          <w:tcPr>
            <w:tcW w:w="9360" w:type="dxa"/>
            <w:gridSpan w:val="3"/>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vAlign w:val="center"/>
          </w:tcPr>
          <w:p w14:paraId="4C723376" w14:textId="77777777" w:rsidR="005279E3" w:rsidRPr="00BD472F" w:rsidRDefault="005279E3" w:rsidP="00686FCD">
            <w:r w:rsidRPr="00BD472F">
              <w:rPr>
                <w:rFonts w:eastAsia="Times New Roman"/>
                <w:i/>
                <w:iCs/>
              </w:rPr>
              <w:t>Residual</w:t>
            </w:r>
          </w:p>
        </w:tc>
      </w:tr>
      <w:tr w:rsidR="005279E3" w:rsidRPr="00BD472F" w14:paraId="276D5E68" w14:textId="77777777" w:rsidTr="00686FCD">
        <w:tc>
          <w:tcPr>
            <w:tcW w:w="4680" w:type="dxa"/>
            <w:tcBorders>
              <w:top w:val="none" w:sz="0" w:space="0" w:color="FFFFFF"/>
              <w:left w:val="none" w:sz="0" w:space="0" w:color="FFFFFF"/>
              <w:bottom w:val="single" w:sz="6" w:space="0" w:color="000000"/>
              <w:right w:val="none" w:sz="0" w:space="0" w:color="FFFFFF"/>
            </w:tcBorders>
            <w:tcMar>
              <w:top w:w="40" w:type="dxa"/>
              <w:left w:w="80" w:type="dxa"/>
              <w:bottom w:w="40" w:type="dxa"/>
              <w:right w:w="80" w:type="dxa"/>
            </w:tcMar>
            <w:vAlign w:val="center"/>
          </w:tcPr>
          <w:p w14:paraId="60923AFC" w14:textId="77777777" w:rsidR="005279E3" w:rsidRPr="00BD472F" w:rsidRDefault="005279E3" w:rsidP="00686FCD">
            <w:r w:rsidRPr="00BD472F">
              <w:rPr>
                <w:rFonts w:eastAsia="Times New Roman"/>
              </w:rPr>
              <w:t>SD</w:t>
            </w:r>
          </w:p>
        </w:tc>
        <w:tc>
          <w:tcPr>
            <w:tcW w:w="2340" w:type="dxa"/>
            <w:tcBorders>
              <w:top w:val="none" w:sz="0" w:space="0" w:color="FFFFFF"/>
              <w:left w:val="none" w:sz="0" w:space="0" w:color="FFFFFF"/>
              <w:bottom w:val="single" w:sz="6" w:space="0" w:color="000000"/>
              <w:right w:val="none" w:sz="0" w:space="0" w:color="FFFFFF"/>
            </w:tcBorders>
            <w:tcMar>
              <w:top w:w="40" w:type="dxa"/>
              <w:left w:w="80" w:type="dxa"/>
              <w:bottom w:w="40" w:type="dxa"/>
              <w:right w:w="80" w:type="dxa"/>
            </w:tcMar>
            <w:vAlign w:val="center"/>
          </w:tcPr>
          <w:p w14:paraId="64EDB501" w14:textId="77777777" w:rsidR="005279E3" w:rsidRPr="00BD472F" w:rsidRDefault="005279E3" w:rsidP="00686FCD">
            <w:pPr>
              <w:jc w:val="center"/>
            </w:pPr>
            <w:r w:rsidRPr="00BD472F">
              <w:rPr>
                <w:rFonts w:eastAsia="Times New Roman"/>
              </w:rPr>
              <w:t>1.00</w:t>
            </w:r>
          </w:p>
        </w:tc>
        <w:tc>
          <w:tcPr>
            <w:tcW w:w="2340" w:type="dxa"/>
            <w:tcBorders>
              <w:top w:val="none" w:sz="0" w:space="0" w:color="FFFFFF"/>
              <w:left w:val="none" w:sz="0" w:space="0" w:color="FFFFFF"/>
              <w:bottom w:val="single" w:sz="6" w:space="0" w:color="000000"/>
              <w:right w:val="none" w:sz="0" w:space="0" w:color="FFFFFF"/>
            </w:tcBorders>
            <w:tcMar>
              <w:top w:w="40" w:type="dxa"/>
              <w:left w:w="80" w:type="dxa"/>
              <w:bottom w:w="40" w:type="dxa"/>
              <w:right w:w="80" w:type="dxa"/>
            </w:tcMar>
            <w:vAlign w:val="center"/>
          </w:tcPr>
          <w:p w14:paraId="0E45D0F1" w14:textId="77777777" w:rsidR="005279E3" w:rsidRPr="00BD472F" w:rsidRDefault="005279E3" w:rsidP="00686FCD">
            <w:pPr>
              <w:jc w:val="center"/>
            </w:pPr>
            <w:r w:rsidRPr="00BD472F">
              <w:rPr>
                <w:rFonts w:eastAsia="Times New Roman"/>
              </w:rPr>
              <w:t>[0.99, 1.02]</w:t>
            </w:r>
          </w:p>
        </w:tc>
      </w:tr>
    </w:tbl>
    <w:p w14:paraId="29CB7FBE" w14:textId="77777777" w:rsidR="005279E3" w:rsidRPr="00BD472F" w:rsidRDefault="005279E3" w:rsidP="005279E3">
      <w:pPr>
        <w:spacing w:before="120"/>
      </w:pPr>
      <w:r w:rsidRPr="00BD472F">
        <w:rPr>
          <w:rFonts w:eastAsia="Times New Roman"/>
          <w:i/>
          <w:iCs/>
        </w:rPr>
        <w:t xml:space="preserve">Note. </w:t>
      </w:r>
      <w:r w:rsidRPr="00BD472F">
        <w:rPr>
          <w:rFonts w:eastAsia="Times New Roman"/>
        </w:rPr>
        <w:t>Estimates are posterior means with 95% credible intervals (</w:t>
      </w:r>
      <w:proofErr w:type="spellStart"/>
      <w:r w:rsidRPr="00BD472F">
        <w:rPr>
          <w:rFonts w:eastAsia="Times New Roman"/>
        </w:rPr>
        <w:t>CrI</w:t>
      </w:r>
      <w:proofErr w:type="spellEnd"/>
      <w:r w:rsidRPr="00BD472F">
        <w:rPr>
          <w:rFonts w:eastAsia="Times New Roman"/>
        </w:rPr>
        <w:t xml:space="preserve">) from a model fit in brms (Bürkner, 2017) with four Markov chains (12,000 post-warmup draws); all R̂ = 1.00 and bulk and tail effective sample sizes exceeded 2,000. </w:t>
      </w:r>
      <w:r w:rsidRPr="00BD472F">
        <w:rPr>
          <w:rFonts w:eastAsia="Times New Roman"/>
          <w:i/>
          <w:iCs/>
        </w:rPr>
        <w:t>N</w:t>
      </w:r>
      <w:r w:rsidRPr="00BD472F">
        <w:rPr>
          <w:rFonts w:eastAsia="Times New Roman"/>
        </w:rPr>
        <w:t xml:space="preserve"> = 8,273 momentary observations from 92 participants; distress was modeled as a Gaussian outcome. Group-specific thin-plate regression splines of study day were fit for each group; each spline comprises an unpenalized linear basis term (reported under Fixed effects) and a penalized nonlinear component summarized by its </w:t>
      </w:r>
      <w:r w:rsidRPr="00BD472F">
        <w:rPr>
          <w:rFonts w:eastAsia="Times New Roman"/>
          <w:i/>
          <w:iCs/>
        </w:rPr>
        <w:t>SD</w:t>
      </w:r>
      <w:r w:rsidRPr="00BD472F">
        <w:rPr>
          <w:rFonts w:eastAsia="Times New Roman"/>
        </w:rPr>
        <w:t>, with larger values indicating greater departure from linearity. Linear basis coefficients are on the spline’s internal orthogonalized scale and are not interpretable as raw change per day; group trajectories are best read from Supplemental Materials Figure 2. The Low group is the reference.</w:t>
      </w:r>
    </w:p>
    <w:p w14:paraId="470B14E8" w14:textId="4FE688D5" w:rsidR="00D71D08" w:rsidRPr="00BD472F" w:rsidRDefault="00D71D08" w:rsidP="00D605BD">
      <w:pPr>
        <w:spacing w:line="480" w:lineRule="auto"/>
        <w:rPr>
          <w:b/>
          <w:bCs/>
        </w:rPr>
        <w:sectPr w:rsidR="00D71D08" w:rsidRPr="00BD472F" w:rsidSect="00D71D08">
          <w:pgSz w:w="15840" w:h="12240" w:orient="landscape"/>
          <w:pgMar w:top="1440" w:right="1440" w:bottom="1440" w:left="1440" w:header="720" w:footer="720" w:gutter="0"/>
          <w:cols w:space="720"/>
          <w:docGrid w:linePitch="360"/>
        </w:sectPr>
      </w:pPr>
    </w:p>
    <w:p w14:paraId="46F92EB8" w14:textId="5A1C3FCD" w:rsidR="00F31211" w:rsidRPr="00BD472F" w:rsidRDefault="00F90792" w:rsidP="00D605BD">
      <w:pPr>
        <w:spacing w:line="480" w:lineRule="auto"/>
        <w:rPr>
          <w:b/>
          <w:bCs/>
        </w:rPr>
      </w:pPr>
      <w:r w:rsidRPr="00BD472F">
        <w:rPr>
          <w:b/>
          <w:bCs/>
        </w:rPr>
        <w:lastRenderedPageBreak/>
        <w:t xml:space="preserve">Supplemental Materials Figure 1 </w:t>
      </w:r>
    </w:p>
    <w:p w14:paraId="2B68B1C9" w14:textId="4FACF574" w:rsidR="00D605BD" w:rsidRPr="00BD472F" w:rsidRDefault="00F90792" w:rsidP="00D605BD">
      <w:pPr>
        <w:spacing w:line="480" w:lineRule="auto"/>
        <w:rPr>
          <w:i/>
          <w:iCs/>
        </w:rPr>
      </w:pPr>
      <w:proofErr w:type="spellStart"/>
      <w:r w:rsidRPr="00BD472F">
        <w:rPr>
          <w:i/>
          <w:iCs/>
        </w:rPr>
        <w:t>CONsolidated</w:t>
      </w:r>
      <w:proofErr w:type="spellEnd"/>
      <w:r w:rsidRPr="00BD472F">
        <w:rPr>
          <w:i/>
          <w:iCs/>
        </w:rPr>
        <w:t xml:space="preserve"> Standards </w:t>
      </w:r>
      <w:r w:rsidR="004B6460" w:rsidRPr="00BD472F">
        <w:rPr>
          <w:i/>
          <w:iCs/>
        </w:rPr>
        <w:t>o</w:t>
      </w:r>
      <w:r w:rsidRPr="00BD472F">
        <w:rPr>
          <w:i/>
          <w:iCs/>
        </w:rPr>
        <w:t>f Reporting Trials (CONSORT) diagram</w:t>
      </w:r>
    </w:p>
    <w:p w14:paraId="49B5D2AA" w14:textId="0FE4540D" w:rsidR="00F90792" w:rsidRPr="00BD472F" w:rsidRDefault="00F90792" w:rsidP="00D605BD">
      <w:pPr>
        <w:spacing w:line="480" w:lineRule="auto"/>
        <w:rPr>
          <w:b/>
          <w:bCs/>
        </w:rPr>
      </w:pPr>
      <w:r w:rsidRPr="00BD472F">
        <w:rPr>
          <w:b/>
          <w:bCs/>
          <w:noProof/>
        </w:rPr>
        <w:drawing>
          <wp:inline distT="0" distB="0" distL="0" distR="0" wp14:anchorId="45792F72" wp14:editId="3836C57D">
            <wp:extent cx="5943587" cy="6192455"/>
            <wp:effectExtent l="0" t="0" r="0" b="0"/>
            <wp:docPr id="1689395137" name="Picture 1" descr="Enrollment Diagram for Study. Shows excluded groups and randomized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95137" name="Picture 1" descr="Enrollment Diagram for Study. Shows excluded groups and randomized groups."/>
                    <pic:cNvPicPr/>
                  </pic:nvPicPr>
                  <pic:blipFill rotWithShape="1">
                    <a:blip r:embed="rId13"/>
                    <a:srcRect t="5268" b="14225"/>
                    <a:stretch>
                      <a:fillRect/>
                    </a:stretch>
                  </pic:blipFill>
                  <pic:spPr bwMode="auto">
                    <a:xfrm>
                      <a:off x="0" y="0"/>
                      <a:ext cx="5943600" cy="6192469"/>
                    </a:xfrm>
                    <a:prstGeom prst="rect">
                      <a:avLst/>
                    </a:prstGeom>
                    <a:ln>
                      <a:noFill/>
                    </a:ln>
                    <a:extLst>
                      <a:ext uri="{53640926-AAD7-44D8-BBD7-CCE9431645EC}">
                        <a14:shadowObscured xmlns:a14="http://schemas.microsoft.com/office/drawing/2010/main"/>
                      </a:ext>
                    </a:extLst>
                  </pic:spPr>
                </pic:pic>
              </a:graphicData>
            </a:graphic>
          </wp:inline>
        </w:drawing>
      </w:r>
    </w:p>
    <w:p w14:paraId="161DBADE" w14:textId="77777777" w:rsidR="00F31211" w:rsidRPr="00BD472F" w:rsidRDefault="00F31211" w:rsidP="00D605BD">
      <w:pPr>
        <w:spacing w:line="480" w:lineRule="auto"/>
        <w:rPr>
          <w:b/>
          <w:bCs/>
        </w:rPr>
      </w:pPr>
    </w:p>
    <w:p w14:paraId="55B724D9" w14:textId="77777777" w:rsidR="00F31211" w:rsidRPr="00BD472F" w:rsidRDefault="00F31211" w:rsidP="00D605BD">
      <w:pPr>
        <w:spacing w:line="480" w:lineRule="auto"/>
        <w:rPr>
          <w:b/>
          <w:bCs/>
        </w:rPr>
        <w:sectPr w:rsidR="00F31211" w:rsidRPr="00BD472F" w:rsidSect="00CB3B38">
          <w:pgSz w:w="12240" w:h="15840"/>
          <w:pgMar w:top="1440" w:right="1440" w:bottom="1440" w:left="1440" w:header="720" w:footer="720" w:gutter="0"/>
          <w:cols w:space="720"/>
          <w:docGrid w:linePitch="360"/>
        </w:sectPr>
      </w:pPr>
    </w:p>
    <w:p w14:paraId="0CB8C770" w14:textId="4E0B4BD4" w:rsidR="00F31211" w:rsidRPr="00BD472F" w:rsidRDefault="00F31211" w:rsidP="00D605BD">
      <w:pPr>
        <w:spacing w:line="480" w:lineRule="auto"/>
        <w:rPr>
          <w:b/>
          <w:bCs/>
        </w:rPr>
      </w:pPr>
      <w:r w:rsidRPr="00BD472F">
        <w:rPr>
          <w:b/>
          <w:bCs/>
        </w:rPr>
        <w:lastRenderedPageBreak/>
        <w:t>Supplemental Materials Figure 2</w:t>
      </w:r>
    </w:p>
    <w:p w14:paraId="42EC2C6E" w14:textId="6F370C9A" w:rsidR="00F31211" w:rsidRPr="00BD472F" w:rsidRDefault="00233AA4" w:rsidP="00D605BD">
      <w:pPr>
        <w:spacing w:line="480" w:lineRule="auto"/>
        <w:rPr>
          <w:b/>
          <w:bCs/>
        </w:rPr>
      </w:pPr>
      <w:r w:rsidRPr="00BD472F">
        <w:rPr>
          <w:i/>
          <w:iCs/>
        </w:rPr>
        <w:t>Between-</w:t>
      </w:r>
      <w:r w:rsidR="005279E3" w:rsidRPr="00BD472F">
        <w:rPr>
          <w:i/>
          <w:iCs/>
        </w:rPr>
        <w:t>G</w:t>
      </w:r>
      <w:r w:rsidRPr="00BD472F">
        <w:rPr>
          <w:i/>
          <w:iCs/>
        </w:rPr>
        <w:t xml:space="preserve">roup </w:t>
      </w:r>
      <w:r w:rsidR="005279E3" w:rsidRPr="00BD472F">
        <w:rPr>
          <w:i/>
          <w:iCs/>
        </w:rPr>
        <w:t>D</w:t>
      </w:r>
      <w:r w:rsidRPr="00BD472F">
        <w:rPr>
          <w:i/>
          <w:iCs/>
        </w:rPr>
        <w:t xml:space="preserve">ifference </w:t>
      </w:r>
      <w:r w:rsidR="005279E3" w:rsidRPr="00BD472F">
        <w:rPr>
          <w:i/>
          <w:iCs/>
        </w:rPr>
        <w:t>i</w:t>
      </w:r>
      <w:r w:rsidRPr="00BD472F">
        <w:rPr>
          <w:i/>
          <w:iCs/>
        </w:rPr>
        <w:t xml:space="preserve">n </w:t>
      </w:r>
      <w:r w:rsidR="005279E3" w:rsidRPr="00BD472F">
        <w:rPr>
          <w:i/>
          <w:iCs/>
        </w:rPr>
        <w:t>M</w:t>
      </w:r>
      <w:r w:rsidRPr="00BD472F">
        <w:rPr>
          <w:i/>
          <w:iCs/>
        </w:rPr>
        <w:t xml:space="preserve">omentary </w:t>
      </w:r>
      <w:r w:rsidR="005279E3" w:rsidRPr="00BD472F">
        <w:rPr>
          <w:i/>
          <w:iCs/>
        </w:rPr>
        <w:t>D</w:t>
      </w:r>
      <w:r w:rsidRPr="00BD472F">
        <w:rPr>
          <w:i/>
          <w:iCs/>
        </w:rPr>
        <w:t xml:space="preserve">istress </w:t>
      </w:r>
      <w:r w:rsidR="00251E13" w:rsidRPr="00BD472F">
        <w:rPr>
          <w:i/>
          <w:iCs/>
        </w:rPr>
        <w:t>O</w:t>
      </w:r>
      <w:r w:rsidRPr="00BD472F">
        <w:rPr>
          <w:i/>
          <w:iCs/>
        </w:rPr>
        <w:t xml:space="preserve">ver the </w:t>
      </w:r>
      <w:r w:rsidR="005279E3" w:rsidRPr="00BD472F">
        <w:rPr>
          <w:i/>
          <w:iCs/>
        </w:rPr>
        <w:t>S</w:t>
      </w:r>
      <w:r w:rsidRPr="00BD472F">
        <w:rPr>
          <w:i/>
          <w:iCs/>
        </w:rPr>
        <w:t xml:space="preserve">tudy </w:t>
      </w:r>
      <w:r w:rsidR="005279E3" w:rsidRPr="00BD472F">
        <w:rPr>
          <w:i/>
          <w:iCs/>
        </w:rPr>
        <w:t>P</w:t>
      </w:r>
      <w:r w:rsidRPr="00BD472F">
        <w:rPr>
          <w:i/>
          <w:iCs/>
        </w:rPr>
        <w:t>eriod</w:t>
      </w:r>
      <w:r w:rsidRPr="00BD472F">
        <w:rPr>
          <w:b/>
          <w:bCs/>
          <w:noProof/>
        </w:rPr>
        <w:drawing>
          <wp:inline distT="0" distB="0" distL="0" distR="0" wp14:anchorId="679B4B85" wp14:editId="4F9902E3">
            <wp:extent cx="4749800" cy="3467100"/>
            <wp:effectExtent l="0" t="0" r="0" b="0"/>
            <wp:docPr id="1150856010" name="Picture 1" descr="Between-Group Difference in Momentary Distress Over the Study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56010" name="Picture 1" descr="Between-Group Difference in Momentary Distress Over the Study Period"/>
                    <pic:cNvPicPr/>
                  </pic:nvPicPr>
                  <pic:blipFill>
                    <a:blip r:embed="rId14"/>
                    <a:stretch>
                      <a:fillRect/>
                    </a:stretch>
                  </pic:blipFill>
                  <pic:spPr>
                    <a:xfrm>
                      <a:off x="0" y="0"/>
                      <a:ext cx="4749800" cy="3467100"/>
                    </a:xfrm>
                    <a:prstGeom prst="rect">
                      <a:avLst/>
                    </a:prstGeom>
                  </pic:spPr>
                </pic:pic>
              </a:graphicData>
            </a:graphic>
          </wp:inline>
        </w:drawing>
      </w:r>
    </w:p>
    <w:p w14:paraId="048F0709" w14:textId="7DFF4622" w:rsidR="00F31211" w:rsidRPr="005279E3" w:rsidRDefault="00F31211" w:rsidP="005279E3">
      <w:pPr>
        <w:spacing w:line="480" w:lineRule="auto"/>
      </w:pPr>
      <w:r w:rsidRPr="00BD472F">
        <w:rPr>
          <w:i/>
          <w:iCs/>
        </w:rPr>
        <w:t xml:space="preserve">Note. </w:t>
      </w:r>
      <w:r w:rsidR="00233AA4" w:rsidRPr="00BD472F">
        <w:t xml:space="preserve">Estimated between-group difference in momentary distress across the 28-day protocol. The solid line is the posterior median difference (High − Low) in expected EMA distress from a Bayesian generalized additive mixed model, group plus group-specific thin-plate smooths of study day, with participant-specific random intercepts and slopes (Gaussian likelihood; </w:t>
      </w:r>
      <w:r w:rsidR="00233AA4" w:rsidRPr="00BD472F">
        <w:rPr>
          <w:rStyle w:val="Emphasis"/>
        </w:rPr>
        <w:t>N</w:t>
      </w:r>
      <w:r w:rsidR="00233AA4" w:rsidRPr="00BD472F">
        <w:t xml:space="preserve"> = 8,273 observations from 92 participants), with random effects marginalized to the population level. The shaded band is the pointwise 95% credible interval; the dashed line marks no difference. The interval excludes zero over days 3–11, indicating lower distress in the High group during that period. Group-specific trajectories were strongly favored over a common linear trend (ΔLOO </w:t>
      </w:r>
      <w:r w:rsidR="005279E3" w:rsidRPr="00BD472F">
        <w:t>expected log predictive density</w:t>
      </w:r>
      <w:r w:rsidR="00233AA4" w:rsidRPr="00BD472F">
        <w:t xml:space="preserve"> = −47.2, </w:t>
      </w:r>
      <w:r w:rsidR="005279E3" w:rsidRPr="00BD472F">
        <w:t>standard error</w:t>
      </w:r>
      <w:r w:rsidR="00233AA4" w:rsidRPr="00BD472F">
        <w:t xml:space="preserve"> = 10.5).</w:t>
      </w:r>
    </w:p>
    <w:sectPr w:rsidR="00F31211" w:rsidRPr="005279E3" w:rsidSect="00CB3B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6CEFF" w14:textId="77777777" w:rsidR="009D3FFE" w:rsidRDefault="009D3FFE" w:rsidP="004A322B">
      <w:r>
        <w:separator/>
      </w:r>
    </w:p>
  </w:endnote>
  <w:endnote w:type="continuationSeparator" w:id="0">
    <w:p w14:paraId="343CA726" w14:textId="77777777" w:rsidR="009D3FFE" w:rsidRDefault="009D3FFE" w:rsidP="004A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1144930"/>
      <w:docPartObj>
        <w:docPartGallery w:val="Page Numbers (Bottom of Page)"/>
        <w:docPartUnique/>
      </w:docPartObj>
    </w:sdtPr>
    <w:sdtContent>
      <w:p w14:paraId="0A00A556" w14:textId="2FED854D" w:rsidR="004A322B" w:rsidRDefault="004A322B" w:rsidP="00583C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887516" w14:textId="77777777" w:rsidR="004A322B" w:rsidRDefault="004A322B" w:rsidP="004A32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5504584"/>
      <w:docPartObj>
        <w:docPartGallery w:val="Page Numbers (Bottom of Page)"/>
        <w:docPartUnique/>
      </w:docPartObj>
    </w:sdtPr>
    <w:sdtContent>
      <w:p w14:paraId="77ADD307" w14:textId="4FE1844A" w:rsidR="004A322B" w:rsidRDefault="004A322B" w:rsidP="00583C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CEC7E15" w14:textId="77777777" w:rsidR="004A322B" w:rsidRDefault="004A322B" w:rsidP="004A32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28DFD" w14:textId="77777777" w:rsidR="009D3FFE" w:rsidRDefault="009D3FFE" w:rsidP="004A322B">
      <w:r>
        <w:separator/>
      </w:r>
    </w:p>
  </w:footnote>
  <w:footnote w:type="continuationSeparator" w:id="0">
    <w:p w14:paraId="3479E118" w14:textId="77777777" w:rsidR="009D3FFE" w:rsidRDefault="009D3FFE" w:rsidP="004A32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D2786"/>
    <w:multiLevelType w:val="hybridMultilevel"/>
    <w:tmpl w:val="0FE6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7842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1E0"/>
    <w:rsid w:val="000020E1"/>
    <w:rsid w:val="0000230B"/>
    <w:rsid w:val="00005F43"/>
    <w:rsid w:val="0001088C"/>
    <w:rsid w:val="00011299"/>
    <w:rsid w:val="00011838"/>
    <w:rsid w:val="000122F8"/>
    <w:rsid w:val="00012BA5"/>
    <w:rsid w:val="00012E54"/>
    <w:rsid w:val="000138B7"/>
    <w:rsid w:val="00013D69"/>
    <w:rsid w:val="00014128"/>
    <w:rsid w:val="0001681C"/>
    <w:rsid w:val="00017381"/>
    <w:rsid w:val="00017870"/>
    <w:rsid w:val="00020114"/>
    <w:rsid w:val="00020899"/>
    <w:rsid w:val="00020F57"/>
    <w:rsid w:val="00022569"/>
    <w:rsid w:val="00022D36"/>
    <w:rsid w:val="000275CB"/>
    <w:rsid w:val="00031934"/>
    <w:rsid w:val="0004142B"/>
    <w:rsid w:val="00043E0D"/>
    <w:rsid w:val="0004531D"/>
    <w:rsid w:val="000455B1"/>
    <w:rsid w:val="00046090"/>
    <w:rsid w:val="00050FDB"/>
    <w:rsid w:val="000520C4"/>
    <w:rsid w:val="00053021"/>
    <w:rsid w:val="0005776E"/>
    <w:rsid w:val="000601DF"/>
    <w:rsid w:val="00060B7F"/>
    <w:rsid w:val="000638E3"/>
    <w:rsid w:val="00064351"/>
    <w:rsid w:val="00067C5B"/>
    <w:rsid w:val="000711A8"/>
    <w:rsid w:val="00072570"/>
    <w:rsid w:val="00072583"/>
    <w:rsid w:val="00072FCC"/>
    <w:rsid w:val="00073E51"/>
    <w:rsid w:val="00075E78"/>
    <w:rsid w:val="00077ADB"/>
    <w:rsid w:val="000808EF"/>
    <w:rsid w:val="000809F3"/>
    <w:rsid w:val="000865B4"/>
    <w:rsid w:val="000915D9"/>
    <w:rsid w:val="00095737"/>
    <w:rsid w:val="000A6AEC"/>
    <w:rsid w:val="000A7463"/>
    <w:rsid w:val="000B17C0"/>
    <w:rsid w:val="000B66B9"/>
    <w:rsid w:val="000B77B4"/>
    <w:rsid w:val="000C35C6"/>
    <w:rsid w:val="000C379D"/>
    <w:rsid w:val="000C6FF8"/>
    <w:rsid w:val="000D60B3"/>
    <w:rsid w:val="000D6839"/>
    <w:rsid w:val="000D6D52"/>
    <w:rsid w:val="000E29BE"/>
    <w:rsid w:val="000E2F9E"/>
    <w:rsid w:val="000E3B40"/>
    <w:rsid w:val="000E3E40"/>
    <w:rsid w:val="000E70EC"/>
    <w:rsid w:val="000F01F2"/>
    <w:rsid w:val="000F3F3A"/>
    <w:rsid w:val="000F4FED"/>
    <w:rsid w:val="000F79A1"/>
    <w:rsid w:val="001003F7"/>
    <w:rsid w:val="001014D8"/>
    <w:rsid w:val="00104E63"/>
    <w:rsid w:val="0010543F"/>
    <w:rsid w:val="00114C21"/>
    <w:rsid w:val="00121824"/>
    <w:rsid w:val="0012204F"/>
    <w:rsid w:val="00122287"/>
    <w:rsid w:val="00124D00"/>
    <w:rsid w:val="0012743A"/>
    <w:rsid w:val="001310B5"/>
    <w:rsid w:val="00131537"/>
    <w:rsid w:val="00132F17"/>
    <w:rsid w:val="001341AF"/>
    <w:rsid w:val="00134DAC"/>
    <w:rsid w:val="00136783"/>
    <w:rsid w:val="0014053B"/>
    <w:rsid w:val="0014070D"/>
    <w:rsid w:val="001409D7"/>
    <w:rsid w:val="00141717"/>
    <w:rsid w:val="00143D25"/>
    <w:rsid w:val="001479F6"/>
    <w:rsid w:val="001509FD"/>
    <w:rsid w:val="00156101"/>
    <w:rsid w:val="001565DF"/>
    <w:rsid w:val="00156638"/>
    <w:rsid w:val="00157290"/>
    <w:rsid w:val="00161A55"/>
    <w:rsid w:val="00161D35"/>
    <w:rsid w:val="0016226A"/>
    <w:rsid w:val="00162BE7"/>
    <w:rsid w:val="00164800"/>
    <w:rsid w:val="00164E01"/>
    <w:rsid w:val="0016643C"/>
    <w:rsid w:val="00171910"/>
    <w:rsid w:val="00171930"/>
    <w:rsid w:val="00172FB9"/>
    <w:rsid w:val="001758D2"/>
    <w:rsid w:val="00175961"/>
    <w:rsid w:val="00175AA3"/>
    <w:rsid w:val="00177A42"/>
    <w:rsid w:val="00184899"/>
    <w:rsid w:val="00194AB9"/>
    <w:rsid w:val="00195316"/>
    <w:rsid w:val="00195F7A"/>
    <w:rsid w:val="00197854"/>
    <w:rsid w:val="001A1A31"/>
    <w:rsid w:val="001B0FD2"/>
    <w:rsid w:val="001B33D1"/>
    <w:rsid w:val="001B7DBA"/>
    <w:rsid w:val="001C3B5C"/>
    <w:rsid w:val="001C57AC"/>
    <w:rsid w:val="001D0EAE"/>
    <w:rsid w:val="001D31B5"/>
    <w:rsid w:val="001E0171"/>
    <w:rsid w:val="001E16FD"/>
    <w:rsid w:val="001E1A3E"/>
    <w:rsid w:val="001E20DB"/>
    <w:rsid w:val="001E5B50"/>
    <w:rsid w:val="001E6EA3"/>
    <w:rsid w:val="001F0257"/>
    <w:rsid w:val="001F2896"/>
    <w:rsid w:val="001F2FCD"/>
    <w:rsid w:val="001F652E"/>
    <w:rsid w:val="0020061D"/>
    <w:rsid w:val="00201142"/>
    <w:rsid w:val="002025D1"/>
    <w:rsid w:val="00203907"/>
    <w:rsid w:val="00203C07"/>
    <w:rsid w:val="0021125F"/>
    <w:rsid w:val="00211628"/>
    <w:rsid w:val="00212E73"/>
    <w:rsid w:val="0021324A"/>
    <w:rsid w:val="00221E3B"/>
    <w:rsid w:val="0022472F"/>
    <w:rsid w:val="0022539C"/>
    <w:rsid w:val="00231BDA"/>
    <w:rsid w:val="00231BE6"/>
    <w:rsid w:val="002327C3"/>
    <w:rsid w:val="002335B6"/>
    <w:rsid w:val="00233AA4"/>
    <w:rsid w:val="00240912"/>
    <w:rsid w:val="00242A1C"/>
    <w:rsid w:val="00243BDD"/>
    <w:rsid w:val="00244024"/>
    <w:rsid w:val="00251556"/>
    <w:rsid w:val="00251711"/>
    <w:rsid w:val="00251E13"/>
    <w:rsid w:val="002523A5"/>
    <w:rsid w:val="00255594"/>
    <w:rsid w:val="002646B2"/>
    <w:rsid w:val="00264D12"/>
    <w:rsid w:val="00272193"/>
    <w:rsid w:val="002742A5"/>
    <w:rsid w:val="00280AA0"/>
    <w:rsid w:val="002849F1"/>
    <w:rsid w:val="002939CF"/>
    <w:rsid w:val="002967F6"/>
    <w:rsid w:val="00297739"/>
    <w:rsid w:val="002A27EC"/>
    <w:rsid w:val="002A2E4B"/>
    <w:rsid w:val="002A3BC2"/>
    <w:rsid w:val="002A44FC"/>
    <w:rsid w:val="002A77FA"/>
    <w:rsid w:val="002A7E03"/>
    <w:rsid w:val="002B052D"/>
    <w:rsid w:val="002B0F64"/>
    <w:rsid w:val="002B1E37"/>
    <w:rsid w:val="002B2B9C"/>
    <w:rsid w:val="002B38FC"/>
    <w:rsid w:val="002B4A88"/>
    <w:rsid w:val="002B53A5"/>
    <w:rsid w:val="002B6CDD"/>
    <w:rsid w:val="002B701E"/>
    <w:rsid w:val="002B755F"/>
    <w:rsid w:val="002C12E4"/>
    <w:rsid w:val="002C197F"/>
    <w:rsid w:val="002C2EB6"/>
    <w:rsid w:val="002C523B"/>
    <w:rsid w:val="002C5294"/>
    <w:rsid w:val="002C5481"/>
    <w:rsid w:val="002D0E7A"/>
    <w:rsid w:val="002D0EDC"/>
    <w:rsid w:val="002D4273"/>
    <w:rsid w:val="002D5667"/>
    <w:rsid w:val="002D6D51"/>
    <w:rsid w:val="002E1A18"/>
    <w:rsid w:val="002E1CC8"/>
    <w:rsid w:val="002E2BA7"/>
    <w:rsid w:val="002E2EBE"/>
    <w:rsid w:val="002E5905"/>
    <w:rsid w:val="002E59F9"/>
    <w:rsid w:val="002F463F"/>
    <w:rsid w:val="003004BC"/>
    <w:rsid w:val="00300913"/>
    <w:rsid w:val="00304681"/>
    <w:rsid w:val="003048D0"/>
    <w:rsid w:val="00306297"/>
    <w:rsid w:val="00306484"/>
    <w:rsid w:val="003115F7"/>
    <w:rsid w:val="003153B5"/>
    <w:rsid w:val="003160CC"/>
    <w:rsid w:val="00321C6A"/>
    <w:rsid w:val="003233CA"/>
    <w:rsid w:val="003248E4"/>
    <w:rsid w:val="0032729A"/>
    <w:rsid w:val="00331C87"/>
    <w:rsid w:val="00332F8F"/>
    <w:rsid w:val="003355A8"/>
    <w:rsid w:val="00336DC5"/>
    <w:rsid w:val="00337B2F"/>
    <w:rsid w:val="00344312"/>
    <w:rsid w:val="0034431D"/>
    <w:rsid w:val="003447AA"/>
    <w:rsid w:val="00353A75"/>
    <w:rsid w:val="00361D5D"/>
    <w:rsid w:val="00365551"/>
    <w:rsid w:val="00370B4F"/>
    <w:rsid w:val="003717E1"/>
    <w:rsid w:val="00374BD4"/>
    <w:rsid w:val="0037726E"/>
    <w:rsid w:val="00377796"/>
    <w:rsid w:val="00381CAB"/>
    <w:rsid w:val="00384AF0"/>
    <w:rsid w:val="00390822"/>
    <w:rsid w:val="0039090F"/>
    <w:rsid w:val="00391092"/>
    <w:rsid w:val="0039293C"/>
    <w:rsid w:val="003967A1"/>
    <w:rsid w:val="00397F2A"/>
    <w:rsid w:val="003A01E4"/>
    <w:rsid w:val="003A2B50"/>
    <w:rsid w:val="003A3E0C"/>
    <w:rsid w:val="003A42EE"/>
    <w:rsid w:val="003A4FC4"/>
    <w:rsid w:val="003B0D93"/>
    <w:rsid w:val="003B19D9"/>
    <w:rsid w:val="003B2F65"/>
    <w:rsid w:val="003C2E3F"/>
    <w:rsid w:val="003C4791"/>
    <w:rsid w:val="003C4CB2"/>
    <w:rsid w:val="003C55D6"/>
    <w:rsid w:val="003D0F54"/>
    <w:rsid w:val="003D2EAB"/>
    <w:rsid w:val="003D655E"/>
    <w:rsid w:val="003D72B0"/>
    <w:rsid w:val="003E1538"/>
    <w:rsid w:val="003E223B"/>
    <w:rsid w:val="003E3BE0"/>
    <w:rsid w:val="003E7B97"/>
    <w:rsid w:val="003E7DF3"/>
    <w:rsid w:val="003F1BE4"/>
    <w:rsid w:val="003F554D"/>
    <w:rsid w:val="003F5CB2"/>
    <w:rsid w:val="004010B9"/>
    <w:rsid w:val="00401B35"/>
    <w:rsid w:val="00404A8E"/>
    <w:rsid w:val="00406D78"/>
    <w:rsid w:val="00406EA2"/>
    <w:rsid w:val="004103CE"/>
    <w:rsid w:val="00411525"/>
    <w:rsid w:val="004127C7"/>
    <w:rsid w:val="004169A7"/>
    <w:rsid w:val="00423D1F"/>
    <w:rsid w:val="00424E22"/>
    <w:rsid w:val="00426E5D"/>
    <w:rsid w:val="004338C4"/>
    <w:rsid w:val="004358DB"/>
    <w:rsid w:val="00436669"/>
    <w:rsid w:val="00436D80"/>
    <w:rsid w:val="00437258"/>
    <w:rsid w:val="00437A46"/>
    <w:rsid w:val="00441940"/>
    <w:rsid w:val="00446A07"/>
    <w:rsid w:val="00447BF7"/>
    <w:rsid w:val="00447C3F"/>
    <w:rsid w:val="00451B47"/>
    <w:rsid w:val="00461978"/>
    <w:rsid w:val="00462543"/>
    <w:rsid w:val="00465772"/>
    <w:rsid w:val="00466D76"/>
    <w:rsid w:val="004670E0"/>
    <w:rsid w:val="00467B9A"/>
    <w:rsid w:val="004723DF"/>
    <w:rsid w:val="004750D4"/>
    <w:rsid w:val="00481025"/>
    <w:rsid w:val="00481334"/>
    <w:rsid w:val="00481871"/>
    <w:rsid w:val="00482444"/>
    <w:rsid w:val="00485A65"/>
    <w:rsid w:val="00486D60"/>
    <w:rsid w:val="004902D2"/>
    <w:rsid w:val="00492103"/>
    <w:rsid w:val="00493345"/>
    <w:rsid w:val="004A322B"/>
    <w:rsid w:val="004A4579"/>
    <w:rsid w:val="004A46C9"/>
    <w:rsid w:val="004A573E"/>
    <w:rsid w:val="004A59F0"/>
    <w:rsid w:val="004B159D"/>
    <w:rsid w:val="004B176C"/>
    <w:rsid w:val="004B259A"/>
    <w:rsid w:val="004B30C0"/>
    <w:rsid w:val="004B42AE"/>
    <w:rsid w:val="004B6460"/>
    <w:rsid w:val="004B6B04"/>
    <w:rsid w:val="004C3A01"/>
    <w:rsid w:val="004C5A91"/>
    <w:rsid w:val="004D0CD4"/>
    <w:rsid w:val="004D2F03"/>
    <w:rsid w:val="004D5F8D"/>
    <w:rsid w:val="004E3AC5"/>
    <w:rsid w:val="004E4AA6"/>
    <w:rsid w:val="004E59D0"/>
    <w:rsid w:val="004F0D66"/>
    <w:rsid w:val="004F174B"/>
    <w:rsid w:val="004F196C"/>
    <w:rsid w:val="004F3323"/>
    <w:rsid w:val="004F38CE"/>
    <w:rsid w:val="004F5056"/>
    <w:rsid w:val="004F7A43"/>
    <w:rsid w:val="004F7D29"/>
    <w:rsid w:val="00502212"/>
    <w:rsid w:val="00502974"/>
    <w:rsid w:val="00504084"/>
    <w:rsid w:val="00504BA7"/>
    <w:rsid w:val="00505656"/>
    <w:rsid w:val="00510193"/>
    <w:rsid w:val="00510CAC"/>
    <w:rsid w:val="005157E0"/>
    <w:rsid w:val="00520880"/>
    <w:rsid w:val="00520DA0"/>
    <w:rsid w:val="0052540E"/>
    <w:rsid w:val="00526641"/>
    <w:rsid w:val="005279E3"/>
    <w:rsid w:val="00533904"/>
    <w:rsid w:val="00533C18"/>
    <w:rsid w:val="00534933"/>
    <w:rsid w:val="00536AF3"/>
    <w:rsid w:val="0053708D"/>
    <w:rsid w:val="00542487"/>
    <w:rsid w:val="0054380F"/>
    <w:rsid w:val="00544E9B"/>
    <w:rsid w:val="005454B7"/>
    <w:rsid w:val="00545C71"/>
    <w:rsid w:val="00546174"/>
    <w:rsid w:val="00550B63"/>
    <w:rsid w:val="0055142D"/>
    <w:rsid w:val="00553AD5"/>
    <w:rsid w:val="0055539D"/>
    <w:rsid w:val="00555659"/>
    <w:rsid w:val="00556B0D"/>
    <w:rsid w:val="00557807"/>
    <w:rsid w:val="00557BBE"/>
    <w:rsid w:val="005601C2"/>
    <w:rsid w:val="0056094D"/>
    <w:rsid w:val="00562FC3"/>
    <w:rsid w:val="00563F53"/>
    <w:rsid w:val="00564249"/>
    <w:rsid w:val="0056581B"/>
    <w:rsid w:val="00565957"/>
    <w:rsid w:val="00570D95"/>
    <w:rsid w:val="00573FE9"/>
    <w:rsid w:val="0057596B"/>
    <w:rsid w:val="00577C93"/>
    <w:rsid w:val="0058461E"/>
    <w:rsid w:val="00584A8C"/>
    <w:rsid w:val="00587D1D"/>
    <w:rsid w:val="0059181E"/>
    <w:rsid w:val="005949A7"/>
    <w:rsid w:val="005952AC"/>
    <w:rsid w:val="005A0C5F"/>
    <w:rsid w:val="005A2591"/>
    <w:rsid w:val="005A3E3F"/>
    <w:rsid w:val="005A68C0"/>
    <w:rsid w:val="005A7EC9"/>
    <w:rsid w:val="005C1A6E"/>
    <w:rsid w:val="005C27C8"/>
    <w:rsid w:val="005C402A"/>
    <w:rsid w:val="005C6A52"/>
    <w:rsid w:val="005D204A"/>
    <w:rsid w:val="005D339E"/>
    <w:rsid w:val="005D4B6D"/>
    <w:rsid w:val="005D4F97"/>
    <w:rsid w:val="005D666F"/>
    <w:rsid w:val="005E09BA"/>
    <w:rsid w:val="005E5507"/>
    <w:rsid w:val="005E618E"/>
    <w:rsid w:val="005E7B87"/>
    <w:rsid w:val="005F0F01"/>
    <w:rsid w:val="005F1BBE"/>
    <w:rsid w:val="005F5B70"/>
    <w:rsid w:val="00600099"/>
    <w:rsid w:val="0060131D"/>
    <w:rsid w:val="00602FF2"/>
    <w:rsid w:val="00606B8F"/>
    <w:rsid w:val="00606D34"/>
    <w:rsid w:val="006074B1"/>
    <w:rsid w:val="00614531"/>
    <w:rsid w:val="006146EB"/>
    <w:rsid w:val="00614D0D"/>
    <w:rsid w:val="0061514C"/>
    <w:rsid w:val="0061622D"/>
    <w:rsid w:val="00622205"/>
    <w:rsid w:val="0062442F"/>
    <w:rsid w:val="00626534"/>
    <w:rsid w:val="00632C6B"/>
    <w:rsid w:val="00632CC0"/>
    <w:rsid w:val="00632E85"/>
    <w:rsid w:val="0063426A"/>
    <w:rsid w:val="0063683D"/>
    <w:rsid w:val="0064051E"/>
    <w:rsid w:val="00640ADD"/>
    <w:rsid w:val="006425DB"/>
    <w:rsid w:val="006467F0"/>
    <w:rsid w:val="006471B4"/>
    <w:rsid w:val="00650129"/>
    <w:rsid w:val="006501E0"/>
    <w:rsid w:val="00650F37"/>
    <w:rsid w:val="00653520"/>
    <w:rsid w:val="00655767"/>
    <w:rsid w:val="0066225F"/>
    <w:rsid w:val="00662DD1"/>
    <w:rsid w:val="006666D7"/>
    <w:rsid w:val="00671C07"/>
    <w:rsid w:val="00675003"/>
    <w:rsid w:val="0067645B"/>
    <w:rsid w:val="0067653B"/>
    <w:rsid w:val="00676FAB"/>
    <w:rsid w:val="00677B9C"/>
    <w:rsid w:val="00681636"/>
    <w:rsid w:val="00681F4C"/>
    <w:rsid w:val="00682C97"/>
    <w:rsid w:val="006849BF"/>
    <w:rsid w:val="00690DF3"/>
    <w:rsid w:val="00690EF0"/>
    <w:rsid w:val="00693C61"/>
    <w:rsid w:val="006949AC"/>
    <w:rsid w:val="00695A8B"/>
    <w:rsid w:val="00695DBD"/>
    <w:rsid w:val="006A3C38"/>
    <w:rsid w:val="006A406D"/>
    <w:rsid w:val="006A4FAB"/>
    <w:rsid w:val="006B075A"/>
    <w:rsid w:val="006B0ACF"/>
    <w:rsid w:val="006B0C64"/>
    <w:rsid w:val="006B4624"/>
    <w:rsid w:val="006B4A4D"/>
    <w:rsid w:val="006B4D22"/>
    <w:rsid w:val="006C1F17"/>
    <w:rsid w:val="006C5D1D"/>
    <w:rsid w:val="006C64A3"/>
    <w:rsid w:val="006D0580"/>
    <w:rsid w:val="006D77F6"/>
    <w:rsid w:val="006D7E8E"/>
    <w:rsid w:val="006E06E6"/>
    <w:rsid w:val="006E33B0"/>
    <w:rsid w:val="006E47DB"/>
    <w:rsid w:val="006E7103"/>
    <w:rsid w:val="006F331A"/>
    <w:rsid w:val="006F53F6"/>
    <w:rsid w:val="00701A4F"/>
    <w:rsid w:val="00701B67"/>
    <w:rsid w:val="00702102"/>
    <w:rsid w:val="007029F2"/>
    <w:rsid w:val="00704168"/>
    <w:rsid w:val="00705F6B"/>
    <w:rsid w:val="00713390"/>
    <w:rsid w:val="00715AC8"/>
    <w:rsid w:val="00715FC5"/>
    <w:rsid w:val="0071671B"/>
    <w:rsid w:val="00716E51"/>
    <w:rsid w:val="00716F47"/>
    <w:rsid w:val="00721648"/>
    <w:rsid w:val="00723201"/>
    <w:rsid w:val="00726BEB"/>
    <w:rsid w:val="00727D37"/>
    <w:rsid w:val="00731D95"/>
    <w:rsid w:val="00733E51"/>
    <w:rsid w:val="00734761"/>
    <w:rsid w:val="00740D07"/>
    <w:rsid w:val="00743255"/>
    <w:rsid w:val="00744EB3"/>
    <w:rsid w:val="00747122"/>
    <w:rsid w:val="00747AB1"/>
    <w:rsid w:val="00752750"/>
    <w:rsid w:val="007552BC"/>
    <w:rsid w:val="0076091F"/>
    <w:rsid w:val="00764479"/>
    <w:rsid w:val="00766849"/>
    <w:rsid w:val="00767309"/>
    <w:rsid w:val="00767487"/>
    <w:rsid w:val="00773D13"/>
    <w:rsid w:val="007765A7"/>
    <w:rsid w:val="00780C1F"/>
    <w:rsid w:val="00782C9B"/>
    <w:rsid w:val="0078423E"/>
    <w:rsid w:val="00786260"/>
    <w:rsid w:val="007877E3"/>
    <w:rsid w:val="0079125F"/>
    <w:rsid w:val="00792D2F"/>
    <w:rsid w:val="0079402E"/>
    <w:rsid w:val="007944B6"/>
    <w:rsid w:val="00794ACD"/>
    <w:rsid w:val="007953D7"/>
    <w:rsid w:val="0079578F"/>
    <w:rsid w:val="007A03CD"/>
    <w:rsid w:val="007A1957"/>
    <w:rsid w:val="007A1A20"/>
    <w:rsid w:val="007A22B9"/>
    <w:rsid w:val="007A5639"/>
    <w:rsid w:val="007A7F36"/>
    <w:rsid w:val="007B14BE"/>
    <w:rsid w:val="007B3368"/>
    <w:rsid w:val="007B3652"/>
    <w:rsid w:val="007B7214"/>
    <w:rsid w:val="007B7552"/>
    <w:rsid w:val="007C02CB"/>
    <w:rsid w:val="007C0A90"/>
    <w:rsid w:val="007C31A8"/>
    <w:rsid w:val="007C405A"/>
    <w:rsid w:val="007C5E54"/>
    <w:rsid w:val="007D1853"/>
    <w:rsid w:val="007D19BA"/>
    <w:rsid w:val="007D356F"/>
    <w:rsid w:val="007D4771"/>
    <w:rsid w:val="007D5F47"/>
    <w:rsid w:val="007D6377"/>
    <w:rsid w:val="007E2BF4"/>
    <w:rsid w:val="007E32A8"/>
    <w:rsid w:val="007E3AF4"/>
    <w:rsid w:val="007F1B63"/>
    <w:rsid w:val="007F1F93"/>
    <w:rsid w:val="007F3B24"/>
    <w:rsid w:val="007F7DCE"/>
    <w:rsid w:val="00800F38"/>
    <w:rsid w:val="00802B45"/>
    <w:rsid w:val="008033CC"/>
    <w:rsid w:val="00820328"/>
    <w:rsid w:val="00820416"/>
    <w:rsid w:val="008215D8"/>
    <w:rsid w:val="00824EC0"/>
    <w:rsid w:val="00825030"/>
    <w:rsid w:val="0082674C"/>
    <w:rsid w:val="00827C66"/>
    <w:rsid w:val="0084091C"/>
    <w:rsid w:val="0084293C"/>
    <w:rsid w:val="008473CC"/>
    <w:rsid w:val="00851FDB"/>
    <w:rsid w:val="008543A7"/>
    <w:rsid w:val="00854795"/>
    <w:rsid w:val="00855E06"/>
    <w:rsid w:val="00856842"/>
    <w:rsid w:val="00861CC3"/>
    <w:rsid w:val="00863887"/>
    <w:rsid w:val="00864C03"/>
    <w:rsid w:val="00870F3E"/>
    <w:rsid w:val="00873178"/>
    <w:rsid w:val="0087683F"/>
    <w:rsid w:val="0087747A"/>
    <w:rsid w:val="00880D6F"/>
    <w:rsid w:val="008853BA"/>
    <w:rsid w:val="00886433"/>
    <w:rsid w:val="00886BE3"/>
    <w:rsid w:val="008957CF"/>
    <w:rsid w:val="008A3374"/>
    <w:rsid w:val="008A3425"/>
    <w:rsid w:val="008A4414"/>
    <w:rsid w:val="008A61A9"/>
    <w:rsid w:val="008A68C4"/>
    <w:rsid w:val="008A6D37"/>
    <w:rsid w:val="008A7E81"/>
    <w:rsid w:val="008B08A0"/>
    <w:rsid w:val="008B08BF"/>
    <w:rsid w:val="008B3030"/>
    <w:rsid w:val="008B4D53"/>
    <w:rsid w:val="008B73B5"/>
    <w:rsid w:val="008C1482"/>
    <w:rsid w:val="008C36CC"/>
    <w:rsid w:val="008C3C3E"/>
    <w:rsid w:val="008C657E"/>
    <w:rsid w:val="008D04C8"/>
    <w:rsid w:val="008D1025"/>
    <w:rsid w:val="008D11A8"/>
    <w:rsid w:val="008D1BBE"/>
    <w:rsid w:val="008D2318"/>
    <w:rsid w:val="008D2F43"/>
    <w:rsid w:val="008D39D5"/>
    <w:rsid w:val="008D42F1"/>
    <w:rsid w:val="008D5A4D"/>
    <w:rsid w:val="008D61F5"/>
    <w:rsid w:val="008E11FE"/>
    <w:rsid w:val="008E1796"/>
    <w:rsid w:val="008E2DF9"/>
    <w:rsid w:val="008E3C70"/>
    <w:rsid w:val="008F0058"/>
    <w:rsid w:val="008F129B"/>
    <w:rsid w:val="008F2E55"/>
    <w:rsid w:val="008F3FB1"/>
    <w:rsid w:val="008F52E1"/>
    <w:rsid w:val="009038AC"/>
    <w:rsid w:val="00907178"/>
    <w:rsid w:val="00907D15"/>
    <w:rsid w:val="0091264B"/>
    <w:rsid w:val="0091765D"/>
    <w:rsid w:val="00917A11"/>
    <w:rsid w:val="0092022B"/>
    <w:rsid w:val="009225E6"/>
    <w:rsid w:val="00924E41"/>
    <w:rsid w:val="009258E8"/>
    <w:rsid w:val="0093529A"/>
    <w:rsid w:val="00935F47"/>
    <w:rsid w:val="00936548"/>
    <w:rsid w:val="00937EBD"/>
    <w:rsid w:val="00940529"/>
    <w:rsid w:val="00944660"/>
    <w:rsid w:val="00945F28"/>
    <w:rsid w:val="00946225"/>
    <w:rsid w:val="00951626"/>
    <w:rsid w:val="009518BC"/>
    <w:rsid w:val="0095415F"/>
    <w:rsid w:val="0095679D"/>
    <w:rsid w:val="00967BBE"/>
    <w:rsid w:val="0097779A"/>
    <w:rsid w:val="00981F11"/>
    <w:rsid w:val="00984077"/>
    <w:rsid w:val="00985378"/>
    <w:rsid w:val="009877F0"/>
    <w:rsid w:val="00987959"/>
    <w:rsid w:val="009923BC"/>
    <w:rsid w:val="009943CB"/>
    <w:rsid w:val="009A02DD"/>
    <w:rsid w:val="009A433F"/>
    <w:rsid w:val="009A5C0E"/>
    <w:rsid w:val="009B2D09"/>
    <w:rsid w:val="009B3F1E"/>
    <w:rsid w:val="009B4723"/>
    <w:rsid w:val="009B7149"/>
    <w:rsid w:val="009C6314"/>
    <w:rsid w:val="009C7816"/>
    <w:rsid w:val="009D3FB5"/>
    <w:rsid w:val="009D3FFE"/>
    <w:rsid w:val="009D4326"/>
    <w:rsid w:val="009D76C2"/>
    <w:rsid w:val="009E1010"/>
    <w:rsid w:val="009E2E3B"/>
    <w:rsid w:val="009E50E7"/>
    <w:rsid w:val="009F1D29"/>
    <w:rsid w:val="009F25D5"/>
    <w:rsid w:val="009F3153"/>
    <w:rsid w:val="009F4480"/>
    <w:rsid w:val="009F78DE"/>
    <w:rsid w:val="00A00A96"/>
    <w:rsid w:val="00A0464B"/>
    <w:rsid w:val="00A04B04"/>
    <w:rsid w:val="00A052D3"/>
    <w:rsid w:val="00A07A93"/>
    <w:rsid w:val="00A12AB6"/>
    <w:rsid w:val="00A14B2E"/>
    <w:rsid w:val="00A20EBF"/>
    <w:rsid w:val="00A235E5"/>
    <w:rsid w:val="00A25485"/>
    <w:rsid w:val="00A276A4"/>
    <w:rsid w:val="00A35134"/>
    <w:rsid w:val="00A351B0"/>
    <w:rsid w:val="00A35419"/>
    <w:rsid w:val="00A417E0"/>
    <w:rsid w:val="00A42679"/>
    <w:rsid w:val="00A43DF9"/>
    <w:rsid w:val="00A461E7"/>
    <w:rsid w:val="00A4706A"/>
    <w:rsid w:val="00A5491D"/>
    <w:rsid w:val="00A56C9C"/>
    <w:rsid w:val="00A647E4"/>
    <w:rsid w:val="00A7003D"/>
    <w:rsid w:val="00A72DDE"/>
    <w:rsid w:val="00A73BD2"/>
    <w:rsid w:val="00A750FF"/>
    <w:rsid w:val="00A82CC8"/>
    <w:rsid w:val="00A84AAB"/>
    <w:rsid w:val="00A873D8"/>
    <w:rsid w:val="00A87E90"/>
    <w:rsid w:val="00A90825"/>
    <w:rsid w:val="00A94569"/>
    <w:rsid w:val="00A95BEC"/>
    <w:rsid w:val="00A97096"/>
    <w:rsid w:val="00AA0573"/>
    <w:rsid w:val="00AA0701"/>
    <w:rsid w:val="00AA0960"/>
    <w:rsid w:val="00AA0BCE"/>
    <w:rsid w:val="00AA5107"/>
    <w:rsid w:val="00AA6BF5"/>
    <w:rsid w:val="00AA763E"/>
    <w:rsid w:val="00AB0114"/>
    <w:rsid w:val="00AB0D33"/>
    <w:rsid w:val="00AB21D4"/>
    <w:rsid w:val="00AB323C"/>
    <w:rsid w:val="00AC1466"/>
    <w:rsid w:val="00AC4172"/>
    <w:rsid w:val="00AD20EB"/>
    <w:rsid w:val="00AD52B6"/>
    <w:rsid w:val="00AD6642"/>
    <w:rsid w:val="00AE2BB5"/>
    <w:rsid w:val="00AE2D3C"/>
    <w:rsid w:val="00AE3AEE"/>
    <w:rsid w:val="00AE4739"/>
    <w:rsid w:val="00AE5091"/>
    <w:rsid w:val="00AE647A"/>
    <w:rsid w:val="00AE6865"/>
    <w:rsid w:val="00AF3A54"/>
    <w:rsid w:val="00B04680"/>
    <w:rsid w:val="00B04A7F"/>
    <w:rsid w:val="00B0600B"/>
    <w:rsid w:val="00B061AB"/>
    <w:rsid w:val="00B06978"/>
    <w:rsid w:val="00B06A3F"/>
    <w:rsid w:val="00B139CE"/>
    <w:rsid w:val="00B16453"/>
    <w:rsid w:val="00B217E3"/>
    <w:rsid w:val="00B22FF9"/>
    <w:rsid w:val="00B2454E"/>
    <w:rsid w:val="00B2528F"/>
    <w:rsid w:val="00B2598C"/>
    <w:rsid w:val="00B25DBC"/>
    <w:rsid w:val="00B26494"/>
    <w:rsid w:val="00B31E7A"/>
    <w:rsid w:val="00B33B24"/>
    <w:rsid w:val="00B3507B"/>
    <w:rsid w:val="00B46E38"/>
    <w:rsid w:val="00B47E33"/>
    <w:rsid w:val="00B52943"/>
    <w:rsid w:val="00B53A0B"/>
    <w:rsid w:val="00B54085"/>
    <w:rsid w:val="00B546FB"/>
    <w:rsid w:val="00B54F7D"/>
    <w:rsid w:val="00B55202"/>
    <w:rsid w:val="00B560B5"/>
    <w:rsid w:val="00B56386"/>
    <w:rsid w:val="00B57CB9"/>
    <w:rsid w:val="00B657E5"/>
    <w:rsid w:val="00B6604B"/>
    <w:rsid w:val="00B73644"/>
    <w:rsid w:val="00B817B7"/>
    <w:rsid w:val="00B851D7"/>
    <w:rsid w:val="00B930A4"/>
    <w:rsid w:val="00B943A5"/>
    <w:rsid w:val="00B957DA"/>
    <w:rsid w:val="00BA00B5"/>
    <w:rsid w:val="00BA01CB"/>
    <w:rsid w:val="00BA3AE5"/>
    <w:rsid w:val="00BA5E38"/>
    <w:rsid w:val="00BA719E"/>
    <w:rsid w:val="00BB0F0E"/>
    <w:rsid w:val="00BB1A63"/>
    <w:rsid w:val="00BB271A"/>
    <w:rsid w:val="00BB7144"/>
    <w:rsid w:val="00BC12F9"/>
    <w:rsid w:val="00BC2088"/>
    <w:rsid w:val="00BC25A7"/>
    <w:rsid w:val="00BC44F6"/>
    <w:rsid w:val="00BD2B5E"/>
    <w:rsid w:val="00BD472F"/>
    <w:rsid w:val="00BD5284"/>
    <w:rsid w:val="00BE111E"/>
    <w:rsid w:val="00BF519F"/>
    <w:rsid w:val="00BF5693"/>
    <w:rsid w:val="00C00842"/>
    <w:rsid w:val="00C02DE1"/>
    <w:rsid w:val="00C0320B"/>
    <w:rsid w:val="00C10371"/>
    <w:rsid w:val="00C111D6"/>
    <w:rsid w:val="00C11378"/>
    <w:rsid w:val="00C113A9"/>
    <w:rsid w:val="00C118FD"/>
    <w:rsid w:val="00C12856"/>
    <w:rsid w:val="00C14DAF"/>
    <w:rsid w:val="00C21B5B"/>
    <w:rsid w:val="00C229F4"/>
    <w:rsid w:val="00C26CF5"/>
    <w:rsid w:val="00C334AD"/>
    <w:rsid w:val="00C334C0"/>
    <w:rsid w:val="00C3380C"/>
    <w:rsid w:val="00C37039"/>
    <w:rsid w:val="00C370C8"/>
    <w:rsid w:val="00C3712F"/>
    <w:rsid w:val="00C45F23"/>
    <w:rsid w:val="00C51D2B"/>
    <w:rsid w:val="00C52AE8"/>
    <w:rsid w:val="00C55146"/>
    <w:rsid w:val="00C6153F"/>
    <w:rsid w:val="00C6211A"/>
    <w:rsid w:val="00C63165"/>
    <w:rsid w:val="00C6363B"/>
    <w:rsid w:val="00C665D3"/>
    <w:rsid w:val="00C7064D"/>
    <w:rsid w:val="00C70D35"/>
    <w:rsid w:val="00C721C7"/>
    <w:rsid w:val="00C74044"/>
    <w:rsid w:val="00C75E70"/>
    <w:rsid w:val="00C768EC"/>
    <w:rsid w:val="00C7706C"/>
    <w:rsid w:val="00C77971"/>
    <w:rsid w:val="00C80076"/>
    <w:rsid w:val="00C839A5"/>
    <w:rsid w:val="00C85673"/>
    <w:rsid w:val="00C85EFE"/>
    <w:rsid w:val="00C878C8"/>
    <w:rsid w:val="00C933CC"/>
    <w:rsid w:val="00C935DC"/>
    <w:rsid w:val="00C93F33"/>
    <w:rsid w:val="00C96188"/>
    <w:rsid w:val="00C96CB4"/>
    <w:rsid w:val="00CA0F04"/>
    <w:rsid w:val="00CA5F70"/>
    <w:rsid w:val="00CA6075"/>
    <w:rsid w:val="00CA7A75"/>
    <w:rsid w:val="00CB0E1D"/>
    <w:rsid w:val="00CB1A08"/>
    <w:rsid w:val="00CB3B38"/>
    <w:rsid w:val="00CB7DCE"/>
    <w:rsid w:val="00CC154C"/>
    <w:rsid w:val="00CC1991"/>
    <w:rsid w:val="00CC1DB2"/>
    <w:rsid w:val="00CC2B3B"/>
    <w:rsid w:val="00CC435F"/>
    <w:rsid w:val="00CC696E"/>
    <w:rsid w:val="00CD1BDD"/>
    <w:rsid w:val="00CD69ED"/>
    <w:rsid w:val="00CE007C"/>
    <w:rsid w:val="00CE297E"/>
    <w:rsid w:val="00CE2B54"/>
    <w:rsid w:val="00CE4CBC"/>
    <w:rsid w:val="00CE5108"/>
    <w:rsid w:val="00CE525F"/>
    <w:rsid w:val="00CF4C5C"/>
    <w:rsid w:val="00D001E2"/>
    <w:rsid w:val="00D0467E"/>
    <w:rsid w:val="00D07AE9"/>
    <w:rsid w:val="00D13011"/>
    <w:rsid w:val="00D15C82"/>
    <w:rsid w:val="00D16277"/>
    <w:rsid w:val="00D16DD4"/>
    <w:rsid w:val="00D20AE0"/>
    <w:rsid w:val="00D25630"/>
    <w:rsid w:val="00D26E26"/>
    <w:rsid w:val="00D33E79"/>
    <w:rsid w:val="00D36807"/>
    <w:rsid w:val="00D3752D"/>
    <w:rsid w:val="00D41703"/>
    <w:rsid w:val="00D467E1"/>
    <w:rsid w:val="00D52824"/>
    <w:rsid w:val="00D530A4"/>
    <w:rsid w:val="00D53F57"/>
    <w:rsid w:val="00D55940"/>
    <w:rsid w:val="00D5629E"/>
    <w:rsid w:val="00D5770D"/>
    <w:rsid w:val="00D57D55"/>
    <w:rsid w:val="00D57FE1"/>
    <w:rsid w:val="00D605BD"/>
    <w:rsid w:val="00D6288F"/>
    <w:rsid w:val="00D6429E"/>
    <w:rsid w:val="00D643A6"/>
    <w:rsid w:val="00D64DA4"/>
    <w:rsid w:val="00D65445"/>
    <w:rsid w:val="00D71D08"/>
    <w:rsid w:val="00D7202B"/>
    <w:rsid w:val="00D72F93"/>
    <w:rsid w:val="00D81955"/>
    <w:rsid w:val="00D819B0"/>
    <w:rsid w:val="00D822E0"/>
    <w:rsid w:val="00D83A3D"/>
    <w:rsid w:val="00D85ACF"/>
    <w:rsid w:val="00D85B09"/>
    <w:rsid w:val="00D871DA"/>
    <w:rsid w:val="00D872FE"/>
    <w:rsid w:val="00D90117"/>
    <w:rsid w:val="00D90CC6"/>
    <w:rsid w:val="00D97203"/>
    <w:rsid w:val="00DA6934"/>
    <w:rsid w:val="00DA718C"/>
    <w:rsid w:val="00DA71DA"/>
    <w:rsid w:val="00DB608A"/>
    <w:rsid w:val="00DC24D9"/>
    <w:rsid w:val="00DC3BB9"/>
    <w:rsid w:val="00DC5CCF"/>
    <w:rsid w:val="00DC5FDB"/>
    <w:rsid w:val="00DC7D08"/>
    <w:rsid w:val="00DD0486"/>
    <w:rsid w:val="00DD19AF"/>
    <w:rsid w:val="00DD222A"/>
    <w:rsid w:val="00DD5FB2"/>
    <w:rsid w:val="00DD6B92"/>
    <w:rsid w:val="00DD7D70"/>
    <w:rsid w:val="00DE15D0"/>
    <w:rsid w:val="00DE27A5"/>
    <w:rsid w:val="00DE468A"/>
    <w:rsid w:val="00DE485B"/>
    <w:rsid w:val="00DE604F"/>
    <w:rsid w:val="00DE61A3"/>
    <w:rsid w:val="00DE76F1"/>
    <w:rsid w:val="00DF14CE"/>
    <w:rsid w:val="00DF1B01"/>
    <w:rsid w:val="00DF3C60"/>
    <w:rsid w:val="00DF71D1"/>
    <w:rsid w:val="00E03644"/>
    <w:rsid w:val="00E05179"/>
    <w:rsid w:val="00E10E48"/>
    <w:rsid w:val="00E17D93"/>
    <w:rsid w:val="00E2038B"/>
    <w:rsid w:val="00E239A1"/>
    <w:rsid w:val="00E25189"/>
    <w:rsid w:val="00E25E4B"/>
    <w:rsid w:val="00E25EC0"/>
    <w:rsid w:val="00E278C8"/>
    <w:rsid w:val="00E3036C"/>
    <w:rsid w:val="00E31948"/>
    <w:rsid w:val="00E31BAA"/>
    <w:rsid w:val="00E32377"/>
    <w:rsid w:val="00E3677B"/>
    <w:rsid w:val="00E3716D"/>
    <w:rsid w:val="00E37461"/>
    <w:rsid w:val="00E408B4"/>
    <w:rsid w:val="00E40BB3"/>
    <w:rsid w:val="00E42FC2"/>
    <w:rsid w:val="00E458EF"/>
    <w:rsid w:val="00E56762"/>
    <w:rsid w:val="00E601E1"/>
    <w:rsid w:val="00E603D2"/>
    <w:rsid w:val="00E61888"/>
    <w:rsid w:val="00E632B1"/>
    <w:rsid w:val="00E654DF"/>
    <w:rsid w:val="00E728DF"/>
    <w:rsid w:val="00E7329F"/>
    <w:rsid w:val="00E73BC5"/>
    <w:rsid w:val="00E7475E"/>
    <w:rsid w:val="00E77F56"/>
    <w:rsid w:val="00E80428"/>
    <w:rsid w:val="00E83518"/>
    <w:rsid w:val="00E83E2B"/>
    <w:rsid w:val="00E86FE4"/>
    <w:rsid w:val="00E9535A"/>
    <w:rsid w:val="00EA04F5"/>
    <w:rsid w:val="00EA4E6A"/>
    <w:rsid w:val="00EA5EAB"/>
    <w:rsid w:val="00EA6EEF"/>
    <w:rsid w:val="00EA7CED"/>
    <w:rsid w:val="00EB21F9"/>
    <w:rsid w:val="00EB3233"/>
    <w:rsid w:val="00EB3EAD"/>
    <w:rsid w:val="00EB433B"/>
    <w:rsid w:val="00EB5A8C"/>
    <w:rsid w:val="00EB679A"/>
    <w:rsid w:val="00EC35C3"/>
    <w:rsid w:val="00EC4740"/>
    <w:rsid w:val="00EC66EA"/>
    <w:rsid w:val="00EC6711"/>
    <w:rsid w:val="00EC7DB6"/>
    <w:rsid w:val="00ED0E30"/>
    <w:rsid w:val="00ED474F"/>
    <w:rsid w:val="00ED7259"/>
    <w:rsid w:val="00ED7CF8"/>
    <w:rsid w:val="00EE05CD"/>
    <w:rsid w:val="00EE0C90"/>
    <w:rsid w:val="00EE1D0D"/>
    <w:rsid w:val="00EE2D95"/>
    <w:rsid w:val="00EE4D7F"/>
    <w:rsid w:val="00EE5EF6"/>
    <w:rsid w:val="00EF18BB"/>
    <w:rsid w:val="00EF1DFF"/>
    <w:rsid w:val="00EF2F51"/>
    <w:rsid w:val="00EF5BFC"/>
    <w:rsid w:val="00F11746"/>
    <w:rsid w:val="00F11BD4"/>
    <w:rsid w:val="00F14737"/>
    <w:rsid w:val="00F17681"/>
    <w:rsid w:val="00F21D8B"/>
    <w:rsid w:val="00F23E22"/>
    <w:rsid w:val="00F24530"/>
    <w:rsid w:val="00F24705"/>
    <w:rsid w:val="00F247CD"/>
    <w:rsid w:val="00F25689"/>
    <w:rsid w:val="00F26939"/>
    <w:rsid w:val="00F3045D"/>
    <w:rsid w:val="00F31211"/>
    <w:rsid w:val="00F33461"/>
    <w:rsid w:val="00F33D7A"/>
    <w:rsid w:val="00F33F19"/>
    <w:rsid w:val="00F33FC1"/>
    <w:rsid w:val="00F341C8"/>
    <w:rsid w:val="00F36FD6"/>
    <w:rsid w:val="00F37F2B"/>
    <w:rsid w:val="00F44D34"/>
    <w:rsid w:val="00F51A3E"/>
    <w:rsid w:val="00F51D44"/>
    <w:rsid w:val="00F5206D"/>
    <w:rsid w:val="00F547D0"/>
    <w:rsid w:val="00F56695"/>
    <w:rsid w:val="00F631C7"/>
    <w:rsid w:val="00F642BD"/>
    <w:rsid w:val="00F6442A"/>
    <w:rsid w:val="00F67CF4"/>
    <w:rsid w:val="00F701C6"/>
    <w:rsid w:val="00F70FB9"/>
    <w:rsid w:val="00F71A89"/>
    <w:rsid w:val="00F74910"/>
    <w:rsid w:val="00F765C7"/>
    <w:rsid w:val="00F77C76"/>
    <w:rsid w:val="00F81704"/>
    <w:rsid w:val="00F823D4"/>
    <w:rsid w:val="00F84589"/>
    <w:rsid w:val="00F85766"/>
    <w:rsid w:val="00F90792"/>
    <w:rsid w:val="00F93E10"/>
    <w:rsid w:val="00F96A30"/>
    <w:rsid w:val="00F9728A"/>
    <w:rsid w:val="00FA0DA4"/>
    <w:rsid w:val="00FA18B7"/>
    <w:rsid w:val="00FA254A"/>
    <w:rsid w:val="00FA2B7E"/>
    <w:rsid w:val="00FA4EC0"/>
    <w:rsid w:val="00FA6C86"/>
    <w:rsid w:val="00FA7B81"/>
    <w:rsid w:val="00FB0292"/>
    <w:rsid w:val="00FB0D76"/>
    <w:rsid w:val="00FB3E01"/>
    <w:rsid w:val="00FC0D90"/>
    <w:rsid w:val="00FC13DF"/>
    <w:rsid w:val="00FC37A9"/>
    <w:rsid w:val="00FC3933"/>
    <w:rsid w:val="00FC70CE"/>
    <w:rsid w:val="00FD2BA2"/>
    <w:rsid w:val="00FD50A4"/>
    <w:rsid w:val="00FD60F0"/>
    <w:rsid w:val="00FD78D0"/>
    <w:rsid w:val="00FE347D"/>
    <w:rsid w:val="00FF0270"/>
    <w:rsid w:val="00FF107B"/>
    <w:rsid w:val="00FF1A3C"/>
    <w:rsid w:val="00FF3BDF"/>
    <w:rsid w:val="00FF626D"/>
    <w:rsid w:val="00FF6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CED7B"/>
  <w15:chartTrackingRefBased/>
  <w15:docId w15:val="{0082A1B2-44C9-E84F-985C-521972CD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0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01E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01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501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501E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501E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501E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501E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0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01E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501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501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501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501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501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501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501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1E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1E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501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01E0"/>
    <w:rPr>
      <w:i/>
      <w:iCs/>
      <w:color w:val="404040" w:themeColor="text1" w:themeTint="BF"/>
    </w:rPr>
  </w:style>
  <w:style w:type="paragraph" w:styleId="ListParagraph">
    <w:name w:val="List Paragraph"/>
    <w:basedOn w:val="Normal"/>
    <w:uiPriority w:val="34"/>
    <w:qFormat/>
    <w:rsid w:val="006501E0"/>
    <w:pPr>
      <w:ind w:left="720"/>
      <w:contextualSpacing/>
    </w:pPr>
  </w:style>
  <w:style w:type="character" w:styleId="IntenseEmphasis">
    <w:name w:val="Intense Emphasis"/>
    <w:basedOn w:val="DefaultParagraphFont"/>
    <w:uiPriority w:val="21"/>
    <w:qFormat/>
    <w:rsid w:val="006501E0"/>
    <w:rPr>
      <w:i/>
      <w:iCs/>
      <w:color w:val="0F4761" w:themeColor="accent1" w:themeShade="BF"/>
    </w:rPr>
  </w:style>
  <w:style w:type="paragraph" w:styleId="IntenseQuote">
    <w:name w:val="Intense Quote"/>
    <w:basedOn w:val="Normal"/>
    <w:next w:val="Normal"/>
    <w:link w:val="IntenseQuoteChar"/>
    <w:uiPriority w:val="30"/>
    <w:qFormat/>
    <w:rsid w:val="00650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1E0"/>
    <w:rPr>
      <w:i/>
      <w:iCs/>
      <w:color w:val="0F4761" w:themeColor="accent1" w:themeShade="BF"/>
    </w:rPr>
  </w:style>
  <w:style w:type="character" w:styleId="IntenseReference">
    <w:name w:val="Intense Reference"/>
    <w:basedOn w:val="DefaultParagraphFont"/>
    <w:uiPriority w:val="32"/>
    <w:qFormat/>
    <w:rsid w:val="006501E0"/>
    <w:rPr>
      <w:b/>
      <w:bCs/>
      <w:smallCaps/>
      <w:color w:val="0F4761" w:themeColor="accent1" w:themeShade="BF"/>
      <w:spacing w:val="5"/>
    </w:rPr>
  </w:style>
  <w:style w:type="character" w:styleId="Hyperlink">
    <w:name w:val="Hyperlink"/>
    <w:basedOn w:val="DefaultParagraphFont"/>
    <w:uiPriority w:val="99"/>
    <w:unhideWhenUsed/>
    <w:rsid w:val="001E20DB"/>
    <w:rPr>
      <w:color w:val="467886" w:themeColor="hyperlink"/>
      <w:u w:val="single"/>
    </w:rPr>
  </w:style>
  <w:style w:type="character" w:customStyle="1" w:styleId="orcid-id-https">
    <w:name w:val="orcid-id-https"/>
    <w:basedOn w:val="DefaultParagraphFont"/>
    <w:rsid w:val="001E20DB"/>
  </w:style>
  <w:style w:type="character" w:styleId="CommentReference">
    <w:name w:val="annotation reference"/>
    <w:basedOn w:val="DefaultParagraphFont"/>
    <w:uiPriority w:val="99"/>
    <w:semiHidden/>
    <w:unhideWhenUsed/>
    <w:rsid w:val="001E20DB"/>
    <w:rPr>
      <w:sz w:val="16"/>
      <w:szCs w:val="16"/>
    </w:rPr>
  </w:style>
  <w:style w:type="paragraph" w:styleId="CommentText">
    <w:name w:val="annotation text"/>
    <w:basedOn w:val="Normal"/>
    <w:link w:val="CommentTextChar"/>
    <w:uiPriority w:val="99"/>
    <w:unhideWhenUsed/>
    <w:rsid w:val="001E20DB"/>
    <w:rPr>
      <w:kern w:val="0"/>
      <w:sz w:val="20"/>
      <w:szCs w:val="20"/>
      <w14:ligatures w14:val="none"/>
    </w:rPr>
  </w:style>
  <w:style w:type="character" w:customStyle="1" w:styleId="CommentTextChar">
    <w:name w:val="Comment Text Char"/>
    <w:basedOn w:val="DefaultParagraphFont"/>
    <w:link w:val="CommentText"/>
    <w:uiPriority w:val="99"/>
    <w:rsid w:val="001E20D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E7103"/>
    <w:rPr>
      <w:b/>
      <w:bCs/>
      <w:kern w:val="2"/>
      <w14:ligatures w14:val="standardContextual"/>
    </w:rPr>
  </w:style>
  <w:style w:type="character" w:customStyle="1" w:styleId="CommentSubjectChar">
    <w:name w:val="Comment Subject Char"/>
    <w:basedOn w:val="CommentTextChar"/>
    <w:link w:val="CommentSubject"/>
    <w:uiPriority w:val="99"/>
    <w:semiHidden/>
    <w:rsid w:val="006E7103"/>
    <w:rPr>
      <w:b/>
      <w:bCs/>
      <w:kern w:val="0"/>
      <w:sz w:val="20"/>
      <w:szCs w:val="20"/>
      <w14:ligatures w14:val="none"/>
    </w:rPr>
  </w:style>
  <w:style w:type="paragraph" w:styleId="Footer">
    <w:name w:val="footer"/>
    <w:basedOn w:val="Normal"/>
    <w:link w:val="FooterChar"/>
    <w:uiPriority w:val="99"/>
    <w:unhideWhenUsed/>
    <w:rsid w:val="004A322B"/>
    <w:pPr>
      <w:tabs>
        <w:tab w:val="center" w:pos="4680"/>
        <w:tab w:val="right" w:pos="9360"/>
      </w:tabs>
    </w:pPr>
  </w:style>
  <w:style w:type="character" w:customStyle="1" w:styleId="FooterChar">
    <w:name w:val="Footer Char"/>
    <w:basedOn w:val="DefaultParagraphFont"/>
    <w:link w:val="Footer"/>
    <w:uiPriority w:val="99"/>
    <w:rsid w:val="004A322B"/>
  </w:style>
  <w:style w:type="character" w:styleId="PageNumber">
    <w:name w:val="page number"/>
    <w:basedOn w:val="DefaultParagraphFont"/>
    <w:uiPriority w:val="99"/>
    <w:semiHidden/>
    <w:unhideWhenUsed/>
    <w:rsid w:val="004A322B"/>
  </w:style>
  <w:style w:type="paragraph" w:styleId="Revision">
    <w:name w:val="Revision"/>
    <w:hidden/>
    <w:uiPriority w:val="99"/>
    <w:semiHidden/>
    <w:rsid w:val="00B817B7"/>
  </w:style>
  <w:style w:type="character" w:styleId="UnresolvedMention">
    <w:name w:val="Unresolved Mention"/>
    <w:basedOn w:val="DefaultParagraphFont"/>
    <w:uiPriority w:val="99"/>
    <w:semiHidden/>
    <w:unhideWhenUsed/>
    <w:rsid w:val="00EC7DB6"/>
    <w:rPr>
      <w:color w:val="605E5C"/>
      <w:shd w:val="clear" w:color="auto" w:fill="E1DFDD"/>
    </w:rPr>
  </w:style>
  <w:style w:type="paragraph" w:styleId="NoSpacing">
    <w:name w:val="No Spacing"/>
    <w:uiPriority w:val="1"/>
    <w:qFormat/>
    <w:rsid w:val="00B26494"/>
    <w:rPr>
      <w:rFonts w:eastAsia="SimSun"/>
      <w:kern w:val="0"/>
      <w14:ligatures w14:val="none"/>
    </w:rPr>
  </w:style>
  <w:style w:type="paragraph" w:styleId="BalloonText">
    <w:name w:val="Balloon Text"/>
    <w:basedOn w:val="Normal"/>
    <w:link w:val="BalloonTextChar"/>
    <w:uiPriority w:val="99"/>
    <w:semiHidden/>
    <w:unhideWhenUsed/>
    <w:rsid w:val="00731D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D95"/>
    <w:rPr>
      <w:rFonts w:ascii="Segoe UI" w:hAnsi="Segoe UI" w:cs="Segoe UI"/>
      <w:sz w:val="18"/>
      <w:szCs w:val="18"/>
    </w:rPr>
  </w:style>
  <w:style w:type="character" w:styleId="Emphasis">
    <w:name w:val="Emphasis"/>
    <w:basedOn w:val="DefaultParagraphFont"/>
    <w:uiPriority w:val="20"/>
    <w:qFormat/>
    <w:rsid w:val="00233A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1-7593-4439" TargetMode="External"/><Relationship Id="rId13"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s://orcid.org/0000-0003-0073-3442" TargetMode="External"/><Relationship Id="rId12" Type="http://schemas.openxmlformats.org/officeDocument/2006/relationships/image" Target="media/image1.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sf.io/jh2xv/files/osfstorage?view_only=038c787190284434869ae03d8b74ac9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11931</Words>
  <Characters>68012</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Goldberg</dc:creator>
  <cp:keywords/>
  <dc:description/>
  <cp:lastModifiedBy>Brendon Panke</cp:lastModifiedBy>
  <cp:revision>2</cp:revision>
  <dcterms:created xsi:type="dcterms:W3CDTF">2026-11-05T19:49:00Z</dcterms:created>
  <dcterms:modified xsi:type="dcterms:W3CDTF">2026-11-05T19:49:00Z</dcterms:modified>
</cp:coreProperties>
</file>